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46774" w14:textId="77777777" w:rsidR="00A868E1" w:rsidRDefault="00E360CB" w:rsidP="002F6648">
      <w:pPr>
        <w:pStyle w:val="Heading1"/>
        <w:tabs>
          <w:tab w:val="left" w:pos="6675"/>
        </w:tabs>
        <w:ind w:left="-2160" w:firstLine="180"/>
      </w:pPr>
      <w:bookmarkStart w:id="0" w:name="_GoBack"/>
      <w:bookmarkEnd w:id="0"/>
      <w:r>
        <w:rPr>
          <w:sz w:val="24"/>
        </w:rPr>
        <w:t>Issue</w:t>
      </w:r>
      <w:r w:rsidR="00D0530D">
        <w:rPr>
          <w:sz w:val="24"/>
        </w:rPr>
        <w:tab/>
      </w:r>
    </w:p>
    <w:p w14:paraId="4EB46775" w14:textId="0CC2341F" w:rsidR="00564E9E" w:rsidRDefault="00E17AAF" w:rsidP="00E17AAF">
      <w:pPr>
        <w:pStyle w:val="Heading1"/>
        <w:tabs>
          <w:tab w:val="left" w:pos="6675"/>
        </w:tabs>
        <w:ind w:left="-810"/>
        <w:rPr>
          <w:rFonts w:ascii="Garamond" w:hAnsi="Garamond"/>
          <w:bCs w:val="0"/>
          <w:color w:val="auto"/>
          <w:kern w:val="0"/>
          <w:sz w:val="24"/>
          <w:szCs w:val="20"/>
        </w:rPr>
      </w:pPr>
      <w:r>
        <w:rPr>
          <w:rFonts w:ascii="Garamond" w:hAnsi="Garamond"/>
          <w:bCs w:val="0"/>
          <w:color w:val="auto"/>
          <w:kern w:val="0"/>
          <w:sz w:val="24"/>
          <w:szCs w:val="20"/>
        </w:rPr>
        <w:t xml:space="preserve">Treatment </w:t>
      </w:r>
      <w:r w:rsidR="00882C61">
        <w:rPr>
          <w:rFonts w:ascii="Garamond" w:hAnsi="Garamond"/>
          <w:bCs w:val="0"/>
          <w:color w:val="auto"/>
          <w:kern w:val="0"/>
          <w:sz w:val="24"/>
          <w:szCs w:val="20"/>
        </w:rPr>
        <w:t>and disclosure of discontinued operations</w:t>
      </w:r>
      <w:r>
        <w:rPr>
          <w:rFonts w:ascii="Garamond" w:hAnsi="Garamond"/>
          <w:bCs w:val="0"/>
          <w:color w:val="auto"/>
          <w:kern w:val="0"/>
          <w:sz w:val="24"/>
          <w:szCs w:val="20"/>
        </w:rPr>
        <w:t xml:space="preserve"> varies among the Services</w:t>
      </w:r>
      <w:r w:rsidR="00882C61">
        <w:rPr>
          <w:rFonts w:ascii="Garamond" w:hAnsi="Garamond"/>
          <w:bCs w:val="0"/>
          <w:color w:val="auto"/>
          <w:kern w:val="0"/>
          <w:sz w:val="24"/>
          <w:szCs w:val="20"/>
        </w:rPr>
        <w:t>.</w:t>
      </w:r>
      <w:r>
        <w:rPr>
          <w:rFonts w:ascii="Garamond" w:hAnsi="Garamond"/>
          <w:bCs w:val="0"/>
          <w:color w:val="auto"/>
          <w:kern w:val="0"/>
          <w:sz w:val="24"/>
          <w:szCs w:val="20"/>
        </w:rPr>
        <w:t xml:space="preserve"> </w:t>
      </w:r>
      <w:r w:rsidR="006D6706">
        <w:rPr>
          <w:rFonts w:ascii="Garamond" w:hAnsi="Garamond"/>
          <w:bCs w:val="0"/>
          <w:color w:val="auto"/>
          <w:kern w:val="0"/>
          <w:sz w:val="24"/>
          <w:szCs w:val="20"/>
        </w:rPr>
        <w:t xml:space="preserve">Additionally, the </w:t>
      </w:r>
      <w:r w:rsidR="00C7614D">
        <w:rPr>
          <w:rFonts w:ascii="Garamond" w:hAnsi="Garamond"/>
          <w:bCs w:val="0"/>
          <w:color w:val="auto"/>
          <w:kern w:val="0"/>
          <w:sz w:val="24"/>
          <w:szCs w:val="20"/>
        </w:rPr>
        <w:t xml:space="preserve">DoDI 1015.15 and the </w:t>
      </w:r>
      <w:r w:rsidR="006D6706">
        <w:rPr>
          <w:rFonts w:ascii="Garamond" w:hAnsi="Garamond"/>
          <w:bCs w:val="0"/>
          <w:color w:val="auto"/>
          <w:kern w:val="0"/>
          <w:sz w:val="24"/>
          <w:szCs w:val="20"/>
        </w:rPr>
        <w:t xml:space="preserve">FMR guidance on extraordinary items is not in line with GAAP, as GAAP has discontinued usage of extraordinary items while the </w:t>
      </w:r>
      <w:r w:rsidR="00C7614D">
        <w:rPr>
          <w:rFonts w:ascii="Garamond" w:hAnsi="Garamond"/>
          <w:bCs w:val="0"/>
          <w:color w:val="auto"/>
          <w:kern w:val="0"/>
          <w:sz w:val="24"/>
          <w:szCs w:val="20"/>
        </w:rPr>
        <w:t xml:space="preserve">DoDI 1015.15 and </w:t>
      </w:r>
      <w:r w:rsidR="006D6706">
        <w:rPr>
          <w:rFonts w:ascii="Garamond" w:hAnsi="Garamond"/>
          <w:bCs w:val="0"/>
          <w:color w:val="auto"/>
          <w:kern w:val="0"/>
          <w:sz w:val="24"/>
          <w:szCs w:val="20"/>
        </w:rPr>
        <w:t xml:space="preserve">FMR guidance still recognizes extraordinary items.  </w:t>
      </w:r>
      <w:r w:rsidR="00564E9E">
        <w:rPr>
          <w:rFonts w:ascii="Garamond" w:hAnsi="Garamond"/>
          <w:bCs w:val="0"/>
          <w:color w:val="auto"/>
          <w:kern w:val="0"/>
          <w:sz w:val="24"/>
          <w:szCs w:val="20"/>
        </w:rPr>
        <w:t xml:space="preserve"> </w:t>
      </w:r>
    </w:p>
    <w:p w14:paraId="4EB46776" w14:textId="77777777" w:rsidR="00586697" w:rsidRDefault="00586697" w:rsidP="00586697">
      <w:pPr>
        <w:pStyle w:val="Heading1"/>
        <w:tabs>
          <w:tab w:val="left" w:pos="6675"/>
        </w:tabs>
        <w:ind w:left="-1710"/>
        <w:rPr>
          <w:rFonts w:ascii="Garamond" w:hAnsi="Garamond"/>
          <w:bCs w:val="0"/>
          <w:color w:val="auto"/>
          <w:kern w:val="0"/>
          <w:sz w:val="24"/>
          <w:szCs w:val="20"/>
        </w:rPr>
      </w:pPr>
    </w:p>
    <w:p w14:paraId="4EB46777" w14:textId="77777777" w:rsidR="002479EF" w:rsidRDefault="002479EF" w:rsidP="00586697">
      <w:pPr>
        <w:pStyle w:val="Heading1"/>
        <w:tabs>
          <w:tab w:val="left" w:pos="6675"/>
        </w:tabs>
        <w:ind w:left="-1980"/>
        <w:rPr>
          <w:sz w:val="24"/>
        </w:rPr>
      </w:pPr>
      <w:r>
        <w:rPr>
          <w:sz w:val="24"/>
        </w:rPr>
        <w:t>Research</w:t>
      </w:r>
    </w:p>
    <w:p w14:paraId="4EB46778" w14:textId="239E3AF1" w:rsidR="002479EF" w:rsidRDefault="002479EF" w:rsidP="002479EF">
      <w:pPr>
        <w:ind w:left="-810"/>
        <w:rPr>
          <w:sz w:val="24"/>
        </w:rPr>
      </w:pPr>
      <w:r>
        <w:rPr>
          <w:sz w:val="24"/>
        </w:rPr>
        <w:t xml:space="preserve">Below outlines the </w:t>
      </w:r>
      <w:r w:rsidR="006D6706">
        <w:rPr>
          <w:sz w:val="24"/>
        </w:rPr>
        <w:t>current process for</w:t>
      </w:r>
      <w:r w:rsidR="000C2E9A">
        <w:rPr>
          <w:sz w:val="24"/>
        </w:rPr>
        <w:t xml:space="preserve"> </w:t>
      </w:r>
      <w:r w:rsidR="0082463C">
        <w:rPr>
          <w:sz w:val="24"/>
        </w:rPr>
        <w:t>how</w:t>
      </w:r>
      <w:r>
        <w:rPr>
          <w:sz w:val="24"/>
        </w:rPr>
        <w:t xml:space="preserve"> each service </w:t>
      </w:r>
      <w:r w:rsidR="00882C61">
        <w:rPr>
          <w:sz w:val="24"/>
        </w:rPr>
        <w:t>treats and discloses discontinued operations</w:t>
      </w:r>
      <w:r>
        <w:rPr>
          <w:sz w:val="24"/>
        </w:rPr>
        <w:t xml:space="preserve"> and what the regulations, accounting guidance and industry standards are for this area.</w:t>
      </w:r>
    </w:p>
    <w:p w14:paraId="4EB46779" w14:textId="77777777" w:rsidR="00ED6A35" w:rsidRDefault="002479EF" w:rsidP="002479EF">
      <w:pPr>
        <w:ind w:left="-810"/>
        <w:rPr>
          <w:sz w:val="24"/>
        </w:rPr>
      </w:pPr>
      <w:r>
        <w:rPr>
          <w:sz w:val="24"/>
        </w:rPr>
        <w:t xml:space="preserve"> </w:t>
      </w:r>
    </w:p>
    <w:tbl>
      <w:tblPr>
        <w:tblStyle w:val="LightGrid"/>
        <w:tblW w:w="15082" w:type="dxa"/>
        <w:tblInd w:w="-2042" w:type="dxa"/>
        <w:tblLayout w:type="fixed"/>
        <w:tblLook w:val="04A0" w:firstRow="1" w:lastRow="0" w:firstColumn="1" w:lastColumn="0" w:noHBand="0" w:noVBand="1"/>
      </w:tblPr>
      <w:tblGrid>
        <w:gridCol w:w="6622"/>
        <w:gridCol w:w="2250"/>
        <w:gridCol w:w="1980"/>
        <w:gridCol w:w="1980"/>
        <w:gridCol w:w="2250"/>
      </w:tblGrid>
      <w:tr w:rsidR="00BB5F9B" w:rsidRPr="00655FDE" w14:paraId="4EB4677F" w14:textId="77777777" w:rsidTr="00E0577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622" w:type="dxa"/>
            <w:shd w:val="clear" w:color="auto" w:fill="000000" w:themeFill="text1"/>
            <w:vAlign w:val="center"/>
          </w:tcPr>
          <w:p w14:paraId="4EB4677A" w14:textId="4F487DBB" w:rsidR="00BB5F9B" w:rsidRPr="00D952E5" w:rsidRDefault="00882C61" w:rsidP="0033152E">
            <w:pPr>
              <w:jc w:val="center"/>
              <w:rPr>
                <w:sz w:val="26"/>
                <w:szCs w:val="26"/>
              </w:rPr>
            </w:pPr>
            <w:r>
              <w:rPr>
                <w:sz w:val="26"/>
                <w:szCs w:val="26"/>
              </w:rPr>
              <w:t>Discontinued</w:t>
            </w:r>
            <w:r w:rsidR="00586697">
              <w:rPr>
                <w:sz w:val="26"/>
                <w:szCs w:val="26"/>
              </w:rPr>
              <w:t xml:space="preserve"> </w:t>
            </w:r>
            <w:r>
              <w:rPr>
                <w:sz w:val="26"/>
                <w:szCs w:val="26"/>
              </w:rPr>
              <w:t xml:space="preserve">Operations </w:t>
            </w:r>
            <w:r w:rsidR="00C460F9">
              <w:rPr>
                <w:sz w:val="26"/>
                <w:szCs w:val="26"/>
              </w:rPr>
              <w:t xml:space="preserve">Treatment and </w:t>
            </w:r>
            <w:r w:rsidR="00586697">
              <w:rPr>
                <w:sz w:val="26"/>
                <w:szCs w:val="26"/>
              </w:rPr>
              <w:t>Guidelines</w:t>
            </w:r>
          </w:p>
        </w:tc>
        <w:tc>
          <w:tcPr>
            <w:tcW w:w="2250" w:type="dxa"/>
            <w:shd w:val="clear" w:color="auto" w:fill="000000" w:themeFill="text1"/>
            <w:vAlign w:val="center"/>
          </w:tcPr>
          <w:p w14:paraId="4EB4677B" w14:textId="77777777" w:rsidR="00BB5F9B" w:rsidRPr="00D952E5" w:rsidRDefault="00BB5F9B" w:rsidP="0033152E">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Air Force</w:t>
            </w:r>
          </w:p>
        </w:tc>
        <w:tc>
          <w:tcPr>
            <w:tcW w:w="1980" w:type="dxa"/>
            <w:shd w:val="clear" w:color="auto" w:fill="000000" w:themeFill="text1"/>
            <w:vAlign w:val="center"/>
          </w:tcPr>
          <w:p w14:paraId="4EB4677C" w14:textId="77777777" w:rsidR="00BB5F9B" w:rsidRPr="00D952E5" w:rsidRDefault="00BB5F9B" w:rsidP="0033152E">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Army</w:t>
            </w:r>
          </w:p>
        </w:tc>
        <w:tc>
          <w:tcPr>
            <w:tcW w:w="1980" w:type="dxa"/>
            <w:shd w:val="clear" w:color="auto" w:fill="000000" w:themeFill="text1"/>
            <w:vAlign w:val="center"/>
          </w:tcPr>
          <w:p w14:paraId="4EB4677D" w14:textId="77777777" w:rsidR="00BB5F9B" w:rsidRPr="00D952E5" w:rsidRDefault="00BB5F9B" w:rsidP="0033152E">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Navy</w:t>
            </w:r>
          </w:p>
        </w:tc>
        <w:tc>
          <w:tcPr>
            <w:tcW w:w="2250" w:type="dxa"/>
            <w:shd w:val="clear" w:color="auto" w:fill="000000" w:themeFill="text1"/>
            <w:vAlign w:val="center"/>
          </w:tcPr>
          <w:p w14:paraId="4EB4677E" w14:textId="77777777" w:rsidR="00BB5F9B" w:rsidRPr="00D952E5" w:rsidRDefault="00BB5F9B" w:rsidP="0033152E">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Marines</w:t>
            </w:r>
          </w:p>
        </w:tc>
      </w:tr>
      <w:tr w:rsidR="00F05EBE" w:rsidRPr="00655FDE" w14:paraId="4EB46785" w14:textId="77777777" w:rsidTr="00E05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2" w:type="dxa"/>
          </w:tcPr>
          <w:p w14:paraId="4EB46780" w14:textId="6B475391" w:rsidR="00F05EBE" w:rsidRPr="000D2B3E" w:rsidRDefault="00F05EBE" w:rsidP="0033152E">
            <w:pPr>
              <w:rPr>
                <w:sz w:val="24"/>
                <w:szCs w:val="24"/>
              </w:rPr>
            </w:pPr>
            <w:r w:rsidRPr="000D2B3E">
              <w:rPr>
                <w:sz w:val="24"/>
                <w:szCs w:val="24"/>
              </w:rPr>
              <w:t xml:space="preserve">Classification </w:t>
            </w:r>
            <w:r w:rsidR="00586697" w:rsidRPr="000D2B3E">
              <w:rPr>
                <w:sz w:val="24"/>
                <w:szCs w:val="24"/>
              </w:rPr>
              <w:t xml:space="preserve">of </w:t>
            </w:r>
            <w:r w:rsidR="00882C61">
              <w:rPr>
                <w:sz w:val="24"/>
                <w:szCs w:val="24"/>
              </w:rPr>
              <w:t xml:space="preserve">discontinued operations </w:t>
            </w:r>
            <w:r w:rsidR="00882C61" w:rsidRPr="00B24115">
              <w:rPr>
                <w:rFonts w:asciiTheme="minorHAnsi" w:hAnsiTheme="minorHAnsi"/>
                <w:sz w:val="23"/>
                <w:szCs w:val="23"/>
              </w:rPr>
              <w:t>(i.e. BRAC and installation closure expense)</w:t>
            </w:r>
          </w:p>
        </w:tc>
        <w:tc>
          <w:tcPr>
            <w:tcW w:w="2250" w:type="dxa"/>
          </w:tcPr>
          <w:p w14:paraId="0827867C" w14:textId="77777777" w:rsidR="00882C61" w:rsidRPr="00C228C6" w:rsidRDefault="00882C61" w:rsidP="0033152E">
            <w:pPr>
              <w:cnfStyle w:val="000000100000" w:firstRow="0" w:lastRow="0" w:firstColumn="0" w:lastColumn="0" w:oddVBand="0" w:evenVBand="0" w:oddHBand="1" w:evenHBand="0" w:firstRowFirstColumn="0" w:firstRowLastColumn="0" w:lastRowFirstColumn="0" w:lastRowLastColumn="0"/>
              <w:rPr>
                <w:szCs w:val="22"/>
              </w:rPr>
            </w:pPr>
            <w:r w:rsidRPr="00C228C6">
              <w:rPr>
                <w:szCs w:val="22"/>
              </w:rPr>
              <w:t xml:space="preserve">Uses multiple GLACs for discontinued operations (use at closing bases only.) </w:t>
            </w:r>
          </w:p>
          <w:p w14:paraId="4EB46781" w14:textId="6F5EF7A5" w:rsidR="00F05EBE" w:rsidRPr="00C228C6" w:rsidRDefault="00882C61" w:rsidP="0033152E">
            <w:pPr>
              <w:cnfStyle w:val="000000100000" w:firstRow="0" w:lastRow="0" w:firstColumn="0" w:lastColumn="0" w:oddVBand="0" w:evenVBand="0" w:oddHBand="1" w:evenHBand="0" w:firstRowFirstColumn="0" w:firstRowLastColumn="0" w:lastRowFirstColumn="0" w:lastRowLastColumn="0"/>
              <w:rPr>
                <w:szCs w:val="22"/>
              </w:rPr>
            </w:pPr>
            <w:r w:rsidRPr="00C228C6">
              <w:rPr>
                <w:szCs w:val="22"/>
              </w:rPr>
              <w:t xml:space="preserve">Any transaction resulting from extraordinary occurrences must be recorded as an extraordinary item.  </w:t>
            </w:r>
          </w:p>
        </w:tc>
        <w:tc>
          <w:tcPr>
            <w:tcW w:w="1980" w:type="dxa"/>
          </w:tcPr>
          <w:p w14:paraId="7EFA9937" w14:textId="77777777" w:rsidR="00A67095" w:rsidRDefault="00882C61" w:rsidP="0033152E">
            <w:pPr>
              <w:cnfStyle w:val="000000100000" w:firstRow="0" w:lastRow="0" w:firstColumn="0" w:lastColumn="0" w:oddVBand="0" w:evenVBand="0" w:oddHBand="1" w:evenHBand="0" w:firstRowFirstColumn="0" w:firstRowLastColumn="0" w:lastRowFirstColumn="0" w:lastRowLastColumn="0"/>
              <w:rPr>
                <w:szCs w:val="22"/>
              </w:rPr>
            </w:pPr>
            <w:r w:rsidRPr="00C228C6">
              <w:rPr>
                <w:b/>
                <w:szCs w:val="22"/>
              </w:rPr>
              <w:t>Classified as an extraordinary item.</w:t>
            </w:r>
            <w:r w:rsidRPr="00C228C6">
              <w:rPr>
                <w:szCs w:val="22"/>
              </w:rPr>
              <w:t xml:space="preserve"> Record all expenses that are directly and legitimately attributable to the BRAC/</w:t>
            </w:r>
          </w:p>
          <w:p w14:paraId="4EB46782" w14:textId="1B0A1F3D" w:rsidR="00F05EBE" w:rsidRPr="00C228C6" w:rsidRDefault="00882C61" w:rsidP="0033152E">
            <w:pPr>
              <w:cnfStyle w:val="000000100000" w:firstRow="0" w:lastRow="0" w:firstColumn="0" w:lastColumn="0" w:oddVBand="0" w:evenVBand="0" w:oddHBand="1" w:evenHBand="0" w:firstRowFirstColumn="0" w:firstRowLastColumn="0" w:lastRowFirstColumn="0" w:lastRowLastColumn="0"/>
              <w:rPr>
                <w:szCs w:val="22"/>
              </w:rPr>
            </w:pPr>
            <w:r w:rsidRPr="00C228C6">
              <w:rPr>
                <w:szCs w:val="22"/>
              </w:rPr>
              <w:t>Re</w:t>
            </w:r>
            <w:r w:rsidR="00A67095">
              <w:rPr>
                <w:szCs w:val="22"/>
              </w:rPr>
              <w:t>-</w:t>
            </w:r>
            <w:r w:rsidRPr="00C228C6">
              <w:rPr>
                <w:szCs w:val="22"/>
              </w:rPr>
              <w:t xml:space="preserve">stationing action </w:t>
            </w:r>
            <w:r w:rsidRPr="00C228C6">
              <w:rPr>
                <w:b/>
                <w:szCs w:val="22"/>
              </w:rPr>
              <w:t>except for US</w:t>
            </w:r>
          </w:p>
        </w:tc>
        <w:tc>
          <w:tcPr>
            <w:tcW w:w="1980" w:type="dxa"/>
          </w:tcPr>
          <w:p w14:paraId="4EB46783" w14:textId="698FF5FC" w:rsidR="00F05EBE" w:rsidRPr="00C228C6" w:rsidRDefault="00882C61" w:rsidP="0033152E">
            <w:pPr>
              <w:cnfStyle w:val="000000100000" w:firstRow="0" w:lastRow="0" w:firstColumn="0" w:lastColumn="0" w:oddVBand="0" w:evenVBand="0" w:oddHBand="1" w:evenHBand="0" w:firstRowFirstColumn="0" w:firstRowLastColumn="0" w:lastRowFirstColumn="0" w:lastRowLastColumn="0"/>
              <w:rPr>
                <w:szCs w:val="22"/>
              </w:rPr>
            </w:pPr>
            <w:r w:rsidRPr="00C228C6">
              <w:rPr>
                <w:szCs w:val="22"/>
              </w:rPr>
              <w:t>Uses many different BRAC GLACs to record base closure costs, which are rolled up into “Other Expenses.”</w:t>
            </w:r>
          </w:p>
        </w:tc>
        <w:tc>
          <w:tcPr>
            <w:tcW w:w="2250" w:type="dxa"/>
          </w:tcPr>
          <w:p w14:paraId="4EB46784" w14:textId="65B8E74D" w:rsidR="00F05EBE" w:rsidRPr="00C228C6" w:rsidRDefault="00882C61" w:rsidP="0033152E">
            <w:pPr>
              <w:cnfStyle w:val="000000100000" w:firstRow="0" w:lastRow="0" w:firstColumn="0" w:lastColumn="0" w:oddVBand="0" w:evenVBand="0" w:oddHBand="1" w:evenHBand="0" w:firstRowFirstColumn="0" w:firstRowLastColumn="0" w:lastRowFirstColumn="0" w:lastRowLastColumn="0"/>
              <w:rPr>
                <w:szCs w:val="22"/>
              </w:rPr>
            </w:pPr>
            <w:r w:rsidRPr="00C228C6">
              <w:rPr>
                <w:szCs w:val="22"/>
              </w:rPr>
              <w:t>No definition</w:t>
            </w:r>
          </w:p>
        </w:tc>
      </w:tr>
      <w:tr w:rsidR="002453C4" w:rsidRPr="00655FDE" w14:paraId="4EB4678B" w14:textId="77777777" w:rsidTr="00E057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2" w:type="dxa"/>
          </w:tcPr>
          <w:p w14:paraId="334FCF94" w14:textId="77777777" w:rsidR="002453C4" w:rsidRPr="00810916" w:rsidRDefault="002453C4" w:rsidP="0033152E">
            <w:pPr>
              <w:autoSpaceDE w:val="0"/>
              <w:autoSpaceDN w:val="0"/>
              <w:adjustRightInd w:val="0"/>
              <w:rPr>
                <w:rFonts w:asciiTheme="minorHAnsi" w:hAnsiTheme="minorHAnsi"/>
                <w:b w:val="0"/>
                <w:sz w:val="24"/>
                <w:szCs w:val="24"/>
              </w:rPr>
            </w:pPr>
            <w:r w:rsidRPr="00810916">
              <w:rPr>
                <w:rFonts w:asciiTheme="minorHAnsi" w:hAnsiTheme="minorHAnsi"/>
                <w:sz w:val="24"/>
                <w:szCs w:val="24"/>
              </w:rPr>
              <w:t>DoDI 1015.15</w:t>
            </w:r>
            <w:r w:rsidR="0082172C" w:rsidRPr="00810916">
              <w:rPr>
                <w:rFonts w:asciiTheme="minorHAnsi" w:hAnsiTheme="minorHAnsi"/>
                <w:b w:val="0"/>
                <w:sz w:val="24"/>
                <w:szCs w:val="24"/>
              </w:rPr>
              <w:t xml:space="preserve">, </w:t>
            </w:r>
            <w:r w:rsidR="0082172C" w:rsidRPr="00810916">
              <w:rPr>
                <w:rFonts w:asciiTheme="minorHAnsi" w:hAnsiTheme="minorHAnsi"/>
                <w:sz w:val="24"/>
                <w:szCs w:val="24"/>
              </w:rPr>
              <w:t xml:space="preserve">6.4.2.2. Extraordinary Items. </w:t>
            </w:r>
            <w:r w:rsidR="0082172C" w:rsidRPr="00810916">
              <w:rPr>
                <w:rFonts w:asciiTheme="minorHAnsi" w:hAnsiTheme="minorHAnsi"/>
                <w:b w:val="0"/>
                <w:sz w:val="24"/>
                <w:szCs w:val="24"/>
              </w:rPr>
              <w:t xml:space="preserve">Extraordinary income or expense shall be shown in the financial statements separately from ordinary operations and shall be footnoted. </w:t>
            </w:r>
            <w:r w:rsidR="00392013" w:rsidRPr="00810916">
              <w:rPr>
                <w:rFonts w:asciiTheme="minorHAnsi" w:hAnsiTheme="minorHAnsi"/>
                <w:b w:val="0"/>
                <w:sz w:val="24"/>
                <w:szCs w:val="24"/>
              </w:rPr>
              <w:t>NAF expenses from Base Realignment and Closure (BRAC) and installation closure actions are authorized extraordinary expense items.</w:t>
            </w:r>
          </w:p>
          <w:p w14:paraId="74AE85DE" w14:textId="77777777" w:rsidR="00810916" w:rsidRDefault="00810916" w:rsidP="0033152E">
            <w:pPr>
              <w:autoSpaceDE w:val="0"/>
              <w:autoSpaceDN w:val="0"/>
              <w:adjustRightInd w:val="0"/>
              <w:rPr>
                <w:rFonts w:asciiTheme="minorHAnsi" w:hAnsiTheme="minorHAnsi"/>
                <w:b w:val="0"/>
                <w:sz w:val="24"/>
                <w:szCs w:val="24"/>
              </w:rPr>
            </w:pPr>
          </w:p>
          <w:p w14:paraId="4EB46786" w14:textId="29410644" w:rsidR="00E0577A" w:rsidRPr="00810916" w:rsidRDefault="00E0577A" w:rsidP="0033152E">
            <w:pPr>
              <w:autoSpaceDE w:val="0"/>
              <w:autoSpaceDN w:val="0"/>
              <w:adjustRightInd w:val="0"/>
              <w:rPr>
                <w:rFonts w:asciiTheme="minorHAnsi" w:hAnsiTheme="minorHAnsi"/>
                <w:b w:val="0"/>
                <w:sz w:val="24"/>
                <w:szCs w:val="24"/>
              </w:rPr>
            </w:pPr>
            <w:r>
              <w:rPr>
                <w:rFonts w:asciiTheme="minorHAnsi" w:hAnsiTheme="minorHAnsi"/>
                <w:b w:val="0"/>
                <w:sz w:val="24"/>
                <w:szCs w:val="24"/>
              </w:rPr>
              <w:t>BRAC actions are year-specific, and the 1015.15</w:t>
            </w:r>
            <w:r w:rsidR="00472D90">
              <w:rPr>
                <w:rFonts w:asciiTheme="minorHAnsi" w:hAnsiTheme="minorHAnsi"/>
                <w:b w:val="0"/>
                <w:sz w:val="24"/>
                <w:szCs w:val="24"/>
              </w:rPr>
              <w:t xml:space="preserve">’s guidance on BRAC action is related to 2005, and is not considered relevant to this paper. </w:t>
            </w:r>
            <w:r>
              <w:rPr>
                <w:rFonts w:asciiTheme="minorHAnsi" w:hAnsiTheme="minorHAnsi"/>
                <w:b w:val="0"/>
                <w:sz w:val="24"/>
                <w:szCs w:val="24"/>
              </w:rPr>
              <w:t xml:space="preserve"> </w:t>
            </w:r>
          </w:p>
        </w:tc>
        <w:tc>
          <w:tcPr>
            <w:tcW w:w="2250" w:type="dxa"/>
          </w:tcPr>
          <w:p w14:paraId="4EB46787" w14:textId="10329549" w:rsidR="002453C4" w:rsidRPr="00B137AE" w:rsidRDefault="002859E9" w:rsidP="0033152E">
            <w:pPr>
              <w:cnfStyle w:val="000000010000" w:firstRow="0" w:lastRow="0" w:firstColumn="0" w:lastColumn="0" w:oddVBand="0" w:evenVBand="0" w:oddHBand="0" w:evenHBand="1" w:firstRowFirstColumn="0" w:firstRowLastColumn="0" w:lastRowFirstColumn="0" w:lastRowLastColumn="0"/>
              <w:rPr>
                <w:szCs w:val="22"/>
              </w:rPr>
            </w:pPr>
            <w:r>
              <w:rPr>
                <w:szCs w:val="22"/>
              </w:rPr>
              <w:t>Follows current guidance.</w:t>
            </w:r>
          </w:p>
        </w:tc>
        <w:tc>
          <w:tcPr>
            <w:tcW w:w="1980" w:type="dxa"/>
          </w:tcPr>
          <w:p w14:paraId="4EB46788" w14:textId="45FA03AB" w:rsidR="002453C4" w:rsidRPr="00B137AE" w:rsidRDefault="002859E9" w:rsidP="0033152E">
            <w:pPr>
              <w:cnfStyle w:val="000000010000" w:firstRow="0" w:lastRow="0" w:firstColumn="0" w:lastColumn="0" w:oddVBand="0" w:evenVBand="0" w:oddHBand="0" w:evenHBand="1" w:firstRowFirstColumn="0" w:firstRowLastColumn="0" w:lastRowFirstColumn="0" w:lastRowLastColumn="0"/>
              <w:rPr>
                <w:szCs w:val="22"/>
              </w:rPr>
            </w:pPr>
            <w:r>
              <w:rPr>
                <w:szCs w:val="22"/>
              </w:rPr>
              <w:t>Follows current guidance.</w:t>
            </w:r>
          </w:p>
        </w:tc>
        <w:tc>
          <w:tcPr>
            <w:tcW w:w="1980" w:type="dxa"/>
          </w:tcPr>
          <w:p w14:paraId="4EB46789" w14:textId="1F43583C" w:rsidR="002453C4" w:rsidRPr="00B137AE" w:rsidRDefault="00A67095" w:rsidP="0033152E">
            <w:pPr>
              <w:cnfStyle w:val="000000010000" w:firstRow="0" w:lastRow="0" w:firstColumn="0" w:lastColumn="0" w:oddVBand="0" w:evenVBand="0" w:oddHBand="0" w:evenHBand="1" w:firstRowFirstColumn="0" w:firstRowLastColumn="0" w:lastRowFirstColumn="0" w:lastRowLastColumn="0"/>
              <w:rPr>
                <w:szCs w:val="22"/>
              </w:rPr>
            </w:pPr>
            <w:r>
              <w:rPr>
                <w:szCs w:val="22"/>
              </w:rPr>
              <w:t>Does not follow guidance.</w:t>
            </w:r>
          </w:p>
        </w:tc>
        <w:tc>
          <w:tcPr>
            <w:tcW w:w="2250" w:type="dxa"/>
          </w:tcPr>
          <w:p w14:paraId="4EB4678A" w14:textId="51BBB2E1" w:rsidR="002453C4" w:rsidRPr="00B137AE" w:rsidRDefault="00A67095" w:rsidP="0033152E">
            <w:pPr>
              <w:cnfStyle w:val="000000010000" w:firstRow="0" w:lastRow="0" w:firstColumn="0" w:lastColumn="0" w:oddVBand="0" w:evenVBand="0" w:oddHBand="0" w:evenHBand="1" w:firstRowFirstColumn="0" w:firstRowLastColumn="0" w:lastRowFirstColumn="0" w:lastRowLastColumn="0"/>
              <w:rPr>
                <w:szCs w:val="22"/>
              </w:rPr>
            </w:pPr>
            <w:r>
              <w:rPr>
                <w:szCs w:val="22"/>
              </w:rPr>
              <w:t>Need more information.</w:t>
            </w:r>
          </w:p>
        </w:tc>
      </w:tr>
      <w:tr w:rsidR="002453C4" w:rsidRPr="00655FDE" w14:paraId="4EB46793" w14:textId="77777777" w:rsidTr="00E05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2" w:type="dxa"/>
          </w:tcPr>
          <w:p w14:paraId="60210B67" w14:textId="7D5AC1FD" w:rsidR="00C81F02" w:rsidRDefault="00C81F02" w:rsidP="0033152E">
            <w:pPr>
              <w:rPr>
                <w:rFonts w:asciiTheme="minorHAnsi" w:hAnsiTheme="minorHAnsi"/>
                <w:b w:val="0"/>
                <w:bCs w:val="0"/>
                <w:sz w:val="24"/>
                <w:szCs w:val="24"/>
              </w:rPr>
            </w:pPr>
            <w:r>
              <w:rPr>
                <w:rFonts w:asciiTheme="minorHAnsi" w:hAnsiTheme="minorHAnsi"/>
                <w:bCs w:val="0"/>
                <w:sz w:val="24"/>
                <w:szCs w:val="24"/>
              </w:rPr>
              <w:t xml:space="preserve">FMR Volume 13, Chapter 7, </w:t>
            </w:r>
            <w:r w:rsidR="00392013" w:rsidRPr="00392013">
              <w:rPr>
                <w:rFonts w:asciiTheme="minorHAnsi" w:hAnsiTheme="minorHAnsi"/>
                <w:bCs w:val="0"/>
                <w:sz w:val="24"/>
                <w:szCs w:val="24"/>
              </w:rPr>
              <w:t>0</w:t>
            </w:r>
            <w:r w:rsidR="00C16F9E">
              <w:rPr>
                <w:rFonts w:asciiTheme="minorHAnsi" w:hAnsiTheme="minorHAnsi"/>
                <w:bCs w:val="0"/>
                <w:sz w:val="24"/>
                <w:szCs w:val="24"/>
              </w:rPr>
              <w:t>7</w:t>
            </w:r>
            <w:r w:rsidR="00392013" w:rsidRPr="00392013">
              <w:rPr>
                <w:rFonts w:asciiTheme="minorHAnsi" w:hAnsiTheme="minorHAnsi"/>
                <w:bCs w:val="0"/>
                <w:sz w:val="24"/>
                <w:szCs w:val="24"/>
              </w:rPr>
              <w:t>0</w:t>
            </w:r>
            <w:r w:rsidR="00C16F9E">
              <w:rPr>
                <w:rFonts w:asciiTheme="minorHAnsi" w:hAnsiTheme="minorHAnsi"/>
                <w:bCs w:val="0"/>
                <w:sz w:val="24"/>
                <w:szCs w:val="24"/>
              </w:rPr>
              <w:t>8</w:t>
            </w:r>
            <w:r w:rsidR="00392013" w:rsidRPr="00392013">
              <w:rPr>
                <w:rFonts w:asciiTheme="minorHAnsi" w:hAnsiTheme="minorHAnsi"/>
                <w:bCs w:val="0"/>
                <w:sz w:val="24"/>
                <w:szCs w:val="24"/>
              </w:rPr>
              <w:t>0</w:t>
            </w:r>
            <w:r w:rsidR="00C16F9E">
              <w:rPr>
                <w:rFonts w:asciiTheme="minorHAnsi" w:hAnsiTheme="minorHAnsi"/>
                <w:bCs w:val="0"/>
                <w:sz w:val="24"/>
                <w:szCs w:val="24"/>
              </w:rPr>
              <w:t>3</w:t>
            </w:r>
            <w:r w:rsidR="00392013" w:rsidRPr="00392013">
              <w:rPr>
                <w:rFonts w:asciiTheme="minorHAnsi" w:hAnsiTheme="minorHAnsi"/>
                <w:bCs w:val="0"/>
                <w:sz w:val="24"/>
                <w:szCs w:val="24"/>
              </w:rPr>
              <w:t>.</w:t>
            </w:r>
            <w:r w:rsidR="00C16F9E">
              <w:rPr>
                <w:rFonts w:asciiTheme="minorHAnsi" w:hAnsiTheme="minorHAnsi"/>
                <w:bCs w:val="0"/>
                <w:sz w:val="24"/>
                <w:szCs w:val="24"/>
              </w:rPr>
              <w:t xml:space="preserve"> M.</w:t>
            </w:r>
            <w:r w:rsidR="00392013" w:rsidRPr="00392013">
              <w:rPr>
                <w:rFonts w:asciiTheme="minorHAnsi" w:hAnsiTheme="minorHAnsi"/>
                <w:bCs w:val="0"/>
                <w:sz w:val="24"/>
                <w:szCs w:val="24"/>
              </w:rPr>
              <w:t xml:space="preserve"> Extraordinary I</w:t>
            </w:r>
            <w:r>
              <w:rPr>
                <w:rFonts w:asciiTheme="minorHAnsi" w:hAnsiTheme="minorHAnsi"/>
                <w:bCs w:val="0"/>
                <w:sz w:val="24"/>
                <w:szCs w:val="24"/>
              </w:rPr>
              <w:t>ncome, Line 13</w:t>
            </w:r>
            <w:r w:rsidR="00C16F9E">
              <w:rPr>
                <w:rFonts w:asciiTheme="minorHAnsi" w:hAnsiTheme="minorHAnsi"/>
                <w:bCs w:val="0"/>
                <w:sz w:val="24"/>
                <w:szCs w:val="24"/>
              </w:rPr>
              <w:t>:</w:t>
            </w:r>
            <w:r w:rsidR="00392013">
              <w:rPr>
                <w:rFonts w:asciiTheme="minorHAnsi" w:hAnsiTheme="minorHAnsi"/>
                <w:b w:val="0"/>
                <w:bCs w:val="0"/>
                <w:sz w:val="24"/>
                <w:szCs w:val="24"/>
              </w:rPr>
              <w:t xml:space="preserve"> Extraordinary income </w:t>
            </w:r>
            <w:r>
              <w:rPr>
                <w:rFonts w:asciiTheme="minorHAnsi" w:hAnsiTheme="minorHAnsi"/>
                <w:b w:val="0"/>
                <w:bCs w:val="0"/>
                <w:sz w:val="24"/>
                <w:szCs w:val="24"/>
              </w:rPr>
              <w:t>is income that is</w:t>
            </w:r>
            <w:r w:rsidR="00392013">
              <w:rPr>
                <w:rFonts w:asciiTheme="minorHAnsi" w:hAnsiTheme="minorHAnsi"/>
                <w:b w:val="0"/>
                <w:bCs w:val="0"/>
                <w:sz w:val="24"/>
                <w:szCs w:val="24"/>
              </w:rPr>
              <w:t xml:space="preserve"> unusual and </w:t>
            </w:r>
            <w:r w:rsidR="00392013">
              <w:rPr>
                <w:rFonts w:asciiTheme="minorHAnsi" w:hAnsiTheme="minorHAnsi"/>
                <w:b w:val="0"/>
                <w:bCs w:val="0"/>
                <w:sz w:val="24"/>
                <w:szCs w:val="24"/>
              </w:rPr>
              <w:lastRenderedPageBreak/>
              <w:t>infrequent</w:t>
            </w:r>
            <w:r>
              <w:rPr>
                <w:rFonts w:asciiTheme="minorHAnsi" w:hAnsiTheme="minorHAnsi"/>
                <w:b w:val="0"/>
                <w:bCs w:val="0"/>
                <w:sz w:val="24"/>
                <w:szCs w:val="24"/>
              </w:rPr>
              <w:t xml:space="preserve"> and requires special treatment in the accounts or separate disclosure in financial statements</w:t>
            </w:r>
            <w:r w:rsidR="00392013">
              <w:rPr>
                <w:rFonts w:asciiTheme="minorHAnsi" w:hAnsiTheme="minorHAnsi"/>
                <w:b w:val="0"/>
                <w:bCs w:val="0"/>
                <w:sz w:val="24"/>
                <w:szCs w:val="24"/>
              </w:rPr>
              <w:t xml:space="preserve">. </w:t>
            </w:r>
          </w:p>
          <w:p w14:paraId="58844116" w14:textId="4AFE4CEC" w:rsidR="00392013" w:rsidRPr="00392013" w:rsidRDefault="00C81F02" w:rsidP="0033152E">
            <w:pPr>
              <w:rPr>
                <w:rFonts w:asciiTheme="minorHAnsi" w:hAnsiTheme="minorHAnsi"/>
                <w:b w:val="0"/>
                <w:bCs w:val="0"/>
                <w:sz w:val="24"/>
                <w:szCs w:val="24"/>
              </w:rPr>
            </w:pPr>
            <w:r>
              <w:rPr>
                <w:rFonts w:asciiTheme="minorHAnsi" w:hAnsiTheme="minorHAnsi"/>
                <w:b w:val="0"/>
                <w:bCs w:val="0"/>
                <w:sz w:val="24"/>
                <w:szCs w:val="24"/>
              </w:rPr>
              <w:t xml:space="preserve">FMR Volume 13, Chapter 7, 070803. N. Extraordinary Expenses (Schedule A), Line 14: </w:t>
            </w:r>
            <w:r w:rsidR="00392013">
              <w:rPr>
                <w:rFonts w:asciiTheme="minorHAnsi" w:hAnsiTheme="minorHAnsi"/>
                <w:b w:val="0"/>
                <w:bCs w:val="0"/>
                <w:sz w:val="24"/>
                <w:szCs w:val="24"/>
              </w:rPr>
              <w:t>Extraordinary</w:t>
            </w:r>
            <w:r w:rsidR="003023EB">
              <w:rPr>
                <w:rFonts w:asciiTheme="minorHAnsi" w:hAnsiTheme="minorHAnsi"/>
                <w:b w:val="0"/>
                <w:bCs w:val="0"/>
                <w:sz w:val="24"/>
                <w:szCs w:val="24"/>
              </w:rPr>
              <w:t xml:space="preserve"> </w:t>
            </w:r>
            <w:r w:rsidR="00392013">
              <w:rPr>
                <w:rFonts w:asciiTheme="minorHAnsi" w:hAnsiTheme="minorHAnsi"/>
                <w:b w:val="0"/>
                <w:bCs w:val="0"/>
                <w:sz w:val="24"/>
                <w:szCs w:val="24"/>
              </w:rPr>
              <w:t xml:space="preserve">expenses are </w:t>
            </w:r>
            <w:r>
              <w:rPr>
                <w:rFonts w:asciiTheme="minorHAnsi" w:hAnsiTheme="minorHAnsi"/>
                <w:b w:val="0"/>
                <w:bCs w:val="0"/>
                <w:sz w:val="24"/>
                <w:szCs w:val="24"/>
              </w:rPr>
              <w:t>expenses that are unusual and infrequent and require special treatment in the accounts or separate disclosure in the financial statements. Report the balances for extraordinary expenses and base realignment and closure (BRAC) and installation closure expenses.</w:t>
            </w:r>
          </w:p>
          <w:p w14:paraId="4EB4678E" w14:textId="57BFD0A2" w:rsidR="002453C4" w:rsidRPr="00D952E5" w:rsidRDefault="002453C4" w:rsidP="0033152E">
            <w:pPr>
              <w:rPr>
                <w:rFonts w:asciiTheme="minorHAnsi" w:hAnsiTheme="minorHAnsi"/>
                <w:sz w:val="24"/>
                <w:szCs w:val="24"/>
              </w:rPr>
            </w:pPr>
          </w:p>
        </w:tc>
        <w:tc>
          <w:tcPr>
            <w:tcW w:w="2250" w:type="dxa"/>
          </w:tcPr>
          <w:p w14:paraId="4EB4678F" w14:textId="55B59E01" w:rsidR="002453C4" w:rsidRPr="00B137AE" w:rsidRDefault="002859E9" w:rsidP="0033152E">
            <w:pPr>
              <w:cnfStyle w:val="000000100000" w:firstRow="0" w:lastRow="0" w:firstColumn="0" w:lastColumn="0" w:oddVBand="0" w:evenVBand="0" w:oddHBand="1" w:evenHBand="0" w:firstRowFirstColumn="0" w:firstRowLastColumn="0" w:lastRowFirstColumn="0" w:lastRowLastColumn="0"/>
              <w:rPr>
                <w:szCs w:val="22"/>
              </w:rPr>
            </w:pPr>
            <w:r>
              <w:rPr>
                <w:szCs w:val="22"/>
              </w:rPr>
              <w:lastRenderedPageBreak/>
              <w:t>Follows current guidance.</w:t>
            </w:r>
          </w:p>
        </w:tc>
        <w:tc>
          <w:tcPr>
            <w:tcW w:w="1980" w:type="dxa"/>
          </w:tcPr>
          <w:p w14:paraId="4EB46790" w14:textId="1B60E274" w:rsidR="002453C4" w:rsidRPr="00B137AE" w:rsidRDefault="002859E9" w:rsidP="0033152E">
            <w:pPr>
              <w:cnfStyle w:val="000000100000" w:firstRow="0" w:lastRow="0" w:firstColumn="0" w:lastColumn="0" w:oddVBand="0" w:evenVBand="0" w:oddHBand="1" w:evenHBand="0" w:firstRowFirstColumn="0" w:firstRowLastColumn="0" w:lastRowFirstColumn="0" w:lastRowLastColumn="0"/>
              <w:rPr>
                <w:szCs w:val="22"/>
              </w:rPr>
            </w:pPr>
            <w:r>
              <w:rPr>
                <w:szCs w:val="22"/>
              </w:rPr>
              <w:t>Follows current guidance.</w:t>
            </w:r>
          </w:p>
        </w:tc>
        <w:tc>
          <w:tcPr>
            <w:tcW w:w="1980" w:type="dxa"/>
          </w:tcPr>
          <w:p w14:paraId="4EB46791" w14:textId="0C87F9E3" w:rsidR="002453C4" w:rsidRPr="00B137AE" w:rsidRDefault="00A67095" w:rsidP="0033152E">
            <w:pPr>
              <w:cnfStyle w:val="000000100000" w:firstRow="0" w:lastRow="0" w:firstColumn="0" w:lastColumn="0" w:oddVBand="0" w:evenVBand="0" w:oddHBand="1" w:evenHBand="0" w:firstRowFirstColumn="0" w:firstRowLastColumn="0" w:lastRowFirstColumn="0" w:lastRowLastColumn="0"/>
              <w:rPr>
                <w:szCs w:val="22"/>
              </w:rPr>
            </w:pPr>
            <w:r>
              <w:rPr>
                <w:szCs w:val="22"/>
              </w:rPr>
              <w:t>Does not follow guidance.</w:t>
            </w:r>
          </w:p>
        </w:tc>
        <w:tc>
          <w:tcPr>
            <w:tcW w:w="2250" w:type="dxa"/>
          </w:tcPr>
          <w:p w14:paraId="4EB46792" w14:textId="3CF7EDD3" w:rsidR="002453C4" w:rsidRPr="00B137AE" w:rsidRDefault="00A67095" w:rsidP="0033152E">
            <w:pPr>
              <w:cnfStyle w:val="000000100000" w:firstRow="0" w:lastRow="0" w:firstColumn="0" w:lastColumn="0" w:oddVBand="0" w:evenVBand="0" w:oddHBand="1" w:evenHBand="0" w:firstRowFirstColumn="0" w:firstRowLastColumn="0" w:lastRowFirstColumn="0" w:lastRowLastColumn="0"/>
              <w:rPr>
                <w:szCs w:val="22"/>
              </w:rPr>
            </w:pPr>
            <w:r>
              <w:rPr>
                <w:szCs w:val="22"/>
              </w:rPr>
              <w:t>Need more information.</w:t>
            </w:r>
          </w:p>
        </w:tc>
      </w:tr>
      <w:tr w:rsidR="00586697" w:rsidRPr="00655FDE" w14:paraId="4EB4679A" w14:textId="77777777" w:rsidTr="00E057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2" w:type="dxa"/>
          </w:tcPr>
          <w:p w14:paraId="1CF25825" w14:textId="77777777" w:rsidR="00810916" w:rsidRDefault="00810916" w:rsidP="0033152E">
            <w:pPr>
              <w:rPr>
                <w:rFonts w:asciiTheme="minorHAnsi" w:hAnsiTheme="minorHAnsi"/>
                <w:b w:val="0"/>
                <w:color w:val="000000"/>
                <w:sz w:val="24"/>
                <w:szCs w:val="24"/>
                <w:lang w:val="en"/>
              </w:rPr>
            </w:pPr>
            <w:r>
              <w:rPr>
                <w:rFonts w:asciiTheme="minorHAnsi" w:hAnsiTheme="minorHAnsi"/>
                <w:sz w:val="24"/>
              </w:rPr>
              <w:t xml:space="preserve">GAAP: Discontinued Operations. </w:t>
            </w:r>
            <w:r>
              <w:rPr>
                <w:rFonts w:ascii="Helvetica" w:hAnsi="Helvetica"/>
                <w:color w:val="000000"/>
                <w:lang w:val="en"/>
              </w:rPr>
              <w:t xml:space="preserve"> </w:t>
            </w:r>
            <w:r w:rsidRPr="00810916">
              <w:rPr>
                <w:rFonts w:asciiTheme="minorHAnsi" w:hAnsiTheme="minorHAnsi"/>
                <w:b w:val="0"/>
                <w:color w:val="000000"/>
                <w:sz w:val="24"/>
                <w:szCs w:val="24"/>
                <w:lang w:val="en"/>
              </w:rPr>
              <w:t>A discontinued operation is separately disclosed on the face of the financial statements and is a component of an entity or a group of components of an entity that is disposed of or is classified as held for sale; or a business or nonprofit that, on acquisition, is classified as held for sale.</w:t>
            </w:r>
            <w:r w:rsidR="0047306F">
              <w:rPr>
                <w:rFonts w:asciiTheme="minorHAnsi" w:hAnsiTheme="minorHAnsi"/>
                <w:b w:val="0"/>
                <w:color w:val="000000"/>
                <w:sz w:val="24"/>
                <w:szCs w:val="24"/>
                <w:lang w:val="en"/>
              </w:rPr>
              <w:t xml:space="preserve"> </w:t>
            </w:r>
            <w:r w:rsidRPr="00810916">
              <w:rPr>
                <w:rFonts w:asciiTheme="minorHAnsi" w:hAnsiTheme="minorHAnsi"/>
                <w:b w:val="0"/>
                <w:color w:val="000000"/>
                <w:sz w:val="24"/>
                <w:szCs w:val="24"/>
                <w:lang w:val="en"/>
              </w:rPr>
              <w:t>A component of an entity comprises operations and cash flows that can be clearly distinguished, operationally and for financial reporting purposes, from the rest of the entity. A component of an entity may be a reportable segment or an operating segment, a reporting unit, a subsidiary, or an asset group.</w:t>
            </w:r>
          </w:p>
          <w:p w14:paraId="6A601BF4" w14:textId="77777777" w:rsidR="001B3D4F" w:rsidRDefault="00CB552E" w:rsidP="0033152E">
            <w:pPr>
              <w:rPr>
                <w:rFonts w:asciiTheme="minorHAnsi" w:hAnsiTheme="minorHAnsi"/>
                <w:b w:val="0"/>
                <w:color w:val="000000"/>
                <w:sz w:val="24"/>
                <w:szCs w:val="24"/>
                <w:lang w:val="en"/>
              </w:rPr>
            </w:pPr>
            <w:r>
              <w:rPr>
                <w:rFonts w:asciiTheme="minorHAnsi" w:hAnsiTheme="minorHAnsi"/>
                <w:b w:val="0"/>
                <w:color w:val="000000"/>
                <w:sz w:val="24"/>
                <w:szCs w:val="24"/>
                <w:lang w:val="en"/>
              </w:rPr>
              <w:t>45-1b</w:t>
            </w:r>
          </w:p>
          <w:p w14:paraId="273EABEE" w14:textId="73559DB5" w:rsidR="00CB552E" w:rsidRDefault="001B3D4F" w:rsidP="0033152E">
            <w:pPr>
              <w:rPr>
                <w:rFonts w:asciiTheme="minorHAnsi" w:hAnsiTheme="minorHAnsi"/>
                <w:b w:val="0"/>
                <w:color w:val="000000"/>
                <w:sz w:val="24"/>
                <w:szCs w:val="24"/>
                <w:lang w:val="en"/>
              </w:rPr>
            </w:pPr>
            <w:r>
              <w:rPr>
                <w:rFonts w:asciiTheme="minorHAnsi" w:hAnsiTheme="minorHAnsi"/>
                <w:b w:val="0"/>
                <w:color w:val="000000"/>
                <w:sz w:val="24"/>
                <w:szCs w:val="24"/>
                <w:lang w:val="en"/>
              </w:rPr>
              <w:t xml:space="preserve">c. </w:t>
            </w:r>
            <w:r>
              <w:rPr>
                <w:rFonts w:ascii="Helvetica" w:hAnsi="Helvetica" w:cs="Helvetica"/>
                <w:b w:val="0"/>
                <w:color w:val="000000"/>
                <w:lang w:val="en"/>
              </w:rPr>
              <w:t>[</w:t>
            </w:r>
            <w:r w:rsidR="00CB552E" w:rsidRPr="00CB552E">
              <w:rPr>
                <w:rFonts w:asciiTheme="minorHAnsi" w:hAnsiTheme="minorHAnsi"/>
                <w:b w:val="0"/>
                <w:color w:val="000000"/>
                <w:sz w:val="24"/>
                <w:szCs w:val="24"/>
                <w:lang w:val="en"/>
              </w:rPr>
              <w:t>The component of an entity or group of components of an entity is disposed of other than by sale in accordance with paragraph 360-10-45-</w:t>
            </w:r>
            <w:r w:rsidRPr="00CB552E">
              <w:rPr>
                <w:rFonts w:asciiTheme="minorHAnsi" w:hAnsiTheme="minorHAnsi"/>
                <w:b w:val="0"/>
                <w:color w:val="000000"/>
                <w:sz w:val="24"/>
                <w:szCs w:val="24"/>
                <w:lang w:val="en"/>
              </w:rPr>
              <w:t>15:</w:t>
            </w:r>
            <w:r w:rsidR="00CB552E" w:rsidRPr="00CB552E">
              <w:rPr>
                <w:rFonts w:asciiTheme="minorHAnsi" w:hAnsiTheme="minorHAnsi"/>
                <w:b w:val="0"/>
                <w:color w:val="000000"/>
                <w:sz w:val="24"/>
                <w:szCs w:val="24"/>
                <w:lang w:val="en"/>
              </w:rPr>
              <w:t xml:space="preserve"> (for example, by abandonment or in a distribution to owners in a spinoff).</w:t>
            </w:r>
          </w:p>
          <w:p w14:paraId="7FC3265D" w14:textId="77777777" w:rsidR="00CB552E" w:rsidRDefault="00CB552E" w:rsidP="0033152E">
            <w:pPr>
              <w:rPr>
                <w:rFonts w:asciiTheme="minorHAnsi" w:hAnsiTheme="minorHAnsi"/>
                <w:b w:val="0"/>
                <w:color w:val="000000"/>
                <w:sz w:val="24"/>
                <w:szCs w:val="24"/>
                <w:lang w:val="en"/>
              </w:rPr>
            </w:pPr>
          </w:p>
          <w:p w14:paraId="3AB4321A" w14:textId="68AB4F1E" w:rsidR="00A964B5" w:rsidRPr="00A964B5" w:rsidRDefault="0033152E" w:rsidP="0033152E">
            <w:pPr>
              <w:pStyle w:val="armleftmargin000"/>
              <w:rPr>
                <w:rFonts w:asciiTheme="minorHAnsi" w:hAnsiTheme="minorHAnsi" w:cs="Arial"/>
                <w:b w:val="0"/>
                <w:color w:val="000000"/>
                <w:lang w:val="en"/>
              </w:rPr>
            </w:pPr>
            <w:bookmarkStart w:id="1" w:name="9A9581841FB46293862575AA004348DF-idd3e95"/>
            <w:bookmarkStart w:id="2" w:name="9A9581841FB46293862575AA004348DF-id45-3"/>
            <w:bookmarkEnd w:id="1"/>
            <w:bookmarkEnd w:id="2"/>
            <w:r w:rsidRPr="0033152E">
              <w:rPr>
                <w:rFonts w:asciiTheme="minorHAnsi" w:hAnsiTheme="minorHAnsi" w:cs="Arial"/>
                <w:b w:val="0"/>
                <w:color w:val="000000"/>
                <w:lang w:val="en"/>
              </w:rPr>
              <w:t>45</w:t>
            </w:r>
            <w:r w:rsidR="00A964B5" w:rsidRPr="00A964B5">
              <w:rPr>
                <w:rFonts w:asciiTheme="minorHAnsi" w:hAnsiTheme="minorHAnsi" w:cs="Arial"/>
                <w:b w:val="0"/>
                <w:color w:val="000000"/>
                <w:lang w:val="en"/>
              </w:rPr>
              <w:t>-3 The statement in which net income of a business entity is reported or the statement of activities of a not-for-profit entity (NFP) for current and prior periods shall report the results of operations of the</w:t>
            </w:r>
            <w:r w:rsidR="00A964B5" w:rsidRPr="00A964B5">
              <w:rPr>
                <w:rFonts w:asciiTheme="minorHAnsi" w:hAnsiTheme="minorHAnsi" w:cs="Arial"/>
                <w:b w:val="0"/>
              </w:rPr>
              <w:t xml:space="preserve"> </w:t>
            </w:r>
            <w:r w:rsidR="00A964B5" w:rsidRPr="00A964B5">
              <w:rPr>
                <w:rFonts w:asciiTheme="minorHAnsi" w:hAnsiTheme="minorHAnsi" w:cs="Arial"/>
                <w:b w:val="0"/>
                <w:color w:val="000000"/>
                <w:lang w:val="en"/>
              </w:rPr>
              <w:t>discontinued operation, including any gain or loss recognized in accordance with paragraph 205-20-45-</w:t>
            </w:r>
            <w:r w:rsidR="001B3D4F" w:rsidRPr="00A964B5">
              <w:rPr>
                <w:rFonts w:asciiTheme="minorHAnsi" w:hAnsiTheme="minorHAnsi" w:cs="Arial"/>
                <w:b w:val="0"/>
                <w:color w:val="000000"/>
                <w:lang w:val="en"/>
              </w:rPr>
              <w:t>3C:,</w:t>
            </w:r>
            <w:r w:rsidR="00A964B5" w:rsidRPr="00A964B5">
              <w:rPr>
                <w:rFonts w:asciiTheme="minorHAnsi" w:hAnsiTheme="minorHAnsi" w:cs="Arial"/>
                <w:b w:val="0"/>
                <w:color w:val="000000"/>
                <w:lang w:val="en"/>
              </w:rPr>
              <w:t xml:space="preserve"> in the period in which a discontinued operation either has been disposed of or is classified as held for sale.</w:t>
            </w:r>
            <w:r w:rsidR="00A964B5" w:rsidRPr="00A964B5">
              <w:rPr>
                <w:rFonts w:asciiTheme="minorHAnsi" w:hAnsiTheme="minorHAnsi" w:cs="Arial"/>
                <w:b w:val="0"/>
              </w:rPr>
              <w:t xml:space="preserve"> </w:t>
            </w:r>
          </w:p>
          <w:p w14:paraId="2DF2DF9F" w14:textId="29F6C650" w:rsidR="00A964B5" w:rsidRPr="00A964B5" w:rsidRDefault="00A964B5" w:rsidP="0033152E">
            <w:pPr>
              <w:pStyle w:val="armleftmargin000"/>
              <w:rPr>
                <w:rFonts w:asciiTheme="minorHAnsi" w:hAnsiTheme="minorHAnsi" w:cs="Arial"/>
                <w:b w:val="0"/>
                <w:color w:val="000000"/>
                <w:lang w:val="en"/>
              </w:rPr>
            </w:pPr>
            <w:bookmarkStart w:id="3" w:name="9A9581841FB46293862575AA004348DF-idSL517"/>
            <w:bookmarkStart w:id="4" w:name="9A9581841FB46293862575AA004348DF-id45-3A"/>
            <w:bookmarkEnd w:id="3"/>
            <w:bookmarkEnd w:id="4"/>
            <w:r w:rsidRPr="00A964B5">
              <w:rPr>
                <w:rFonts w:asciiTheme="minorHAnsi" w:hAnsiTheme="minorHAnsi" w:cs="Arial"/>
                <w:b w:val="0"/>
                <w:color w:val="000000"/>
                <w:lang w:val="en"/>
              </w:rPr>
              <w:lastRenderedPageBreak/>
              <w:t>45-3A The results of all discontinued operations, less applicable income taxes (benefit), shall be reported as a separate component of income. For example, the results of all discontinued operations may be reported in the statement where net income of a business entity is reported as follows.</w:t>
            </w:r>
            <w:r w:rsidRPr="00A964B5">
              <w:rPr>
                <w:rFonts w:asciiTheme="minorHAnsi" w:hAnsiTheme="minorHAnsi" w:cs="Arial"/>
                <w:b w:val="0"/>
              </w:rPr>
              <w:t xml:space="preserve"> </w:t>
            </w:r>
          </w:p>
          <w:p w14:paraId="597997E0" w14:textId="5F8F4C73" w:rsidR="00A964B5" w:rsidRDefault="00A964B5" w:rsidP="0033152E">
            <w:pPr>
              <w:pStyle w:val="armleftmargin025"/>
              <w:rPr>
                <w:rFonts w:ascii="Helvetica" w:hAnsi="Helvetica" w:cs="Helvetica"/>
                <w:color w:val="000000"/>
                <w:lang w:val="en"/>
              </w:rPr>
            </w:pPr>
            <w:r>
              <w:rPr>
                <w:rFonts w:ascii="Helvetica" w:hAnsi="Helvetica" w:cs="Helvetica"/>
                <w:noProof/>
                <w:color w:val="000000"/>
              </w:rPr>
              <w:drawing>
                <wp:inline distT="0" distB="0" distL="0" distR="0" wp14:anchorId="4EF57C73" wp14:editId="558AD1D8">
                  <wp:extent cx="4121150" cy="2011680"/>
                  <wp:effectExtent l="0" t="0" r="0" b="7620"/>
                  <wp:docPr id="1" name="Picture 1" descr="http://intelliconnect.cch.com/docmedia/attach/WKUS-TAL-DOCS-PHC/68/9A9581841FB46293862575AA004348DFi06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lliconnect.cch.com/docmedia/attach/WKUS-TAL-DOCS-PHC/68/9A9581841FB46293862575AA004348DFi063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1150" cy="2011680"/>
                          </a:xfrm>
                          <a:prstGeom prst="rect">
                            <a:avLst/>
                          </a:prstGeom>
                          <a:noFill/>
                          <a:ln>
                            <a:noFill/>
                          </a:ln>
                        </pic:spPr>
                      </pic:pic>
                    </a:graphicData>
                  </a:graphic>
                </wp:inline>
              </w:drawing>
            </w:r>
          </w:p>
          <w:p w14:paraId="5D552D86" w14:textId="516FC446" w:rsidR="006D6706" w:rsidRPr="006D6706" w:rsidRDefault="006D6706" w:rsidP="0033152E">
            <w:pPr>
              <w:rPr>
                <w:rFonts w:asciiTheme="minorHAnsi" w:hAnsiTheme="minorHAnsi"/>
                <w:b w:val="0"/>
                <w:color w:val="000000"/>
                <w:sz w:val="24"/>
                <w:szCs w:val="24"/>
                <w:lang w:val="en"/>
              </w:rPr>
            </w:pPr>
            <w:r>
              <w:rPr>
                <w:rFonts w:asciiTheme="minorHAnsi" w:hAnsiTheme="minorHAnsi"/>
                <w:color w:val="000000"/>
                <w:sz w:val="24"/>
                <w:szCs w:val="24"/>
                <w:lang w:val="en"/>
              </w:rPr>
              <w:t xml:space="preserve">205-20-45-10. </w:t>
            </w:r>
            <w:r w:rsidRPr="006D6706">
              <w:rPr>
                <w:rFonts w:asciiTheme="minorHAnsi" w:hAnsiTheme="minorHAnsi"/>
                <w:b w:val="0"/>
                <w:color w:val="000000"/>
                <w:sz w:val="24"/>
                <w:szCs w:val="24"/>
                <w:lang w:val="en"/>
              </w:rPr>
              <w:t xml:space="preserve">In the period(s) that a discontinued operation is classified as held for sale and for all prior periods presented, the assets and liabilities of the discontinued operation shall be presented separately in the asset and liability sections, respectively, of the statement of financial position. Those assets and liabilities shall not be offset and presented as a single amount. </w:t>
            </w:r>
          </w:p>
          <w:p w14:paraId="02F443EE" w14:textId="77777777" w:rsidR="006D6706" w:rsidRDefault="006D6706" w:rsidP="0033152E">
            <w:pPr>
              <w:rPr>
                <w:rFonts w:asciiTheme="minorHAnsi" w:hAnsiTheme="minorHAnsi"/>
                <w:color w:val="000000"/>
                <w:sz w:val="24"/>
                <w:szCs w:val="24"/>
                <w:lang w:val="en"/>
              </w:rPr>
            </w:pPr>
          </w:p>
          <w:p w14:paraId="39C8E4BC" w14:textId="77777777" w:rsidR="00A964B5" w:rsidRDefault="006D6706" w:rsidP="0033152E">
            <w:pPr>
              <w:rPr>
                <w:rFonts w:asciiTheme="minorHAnsi" w:hAnsiTheme="minorHAnsi"/>
                <w:b w:val="0"/>
                <w:color w:val="000000"/>
                <w:sz w:val="24"/>
                <w:szCs w:val="24"/>
                <w:lang w:val="en"/>
              </w:rPr>
            </w:pPr>
            <w:r w:rsidRPr="00736C0A">
              <w:rPr>
                <w:rFonts w:asciiTheme="minorHAnsi" w:hAnsiTheme="minorHAnsi"/>
                <w:color w:val="000000"/>
                <w:sz w:val="24"/>
                <w:szCs w:val="24"/>
                <w:lang w:val="en"/>
              </w:rPr>
              <w:t>205-20-50 Disclosure –General</w:t>
            </w:r>
            <w:r w:rsidRPr="00736C0A">
              <w:rPr>
                <w:rFonts w:asciiTheme="minorHAnsi" w:hAnsiTheme="minorHAnsi"/>
                <w:b w:val="0"/>
                <w:color w:val="000000"/>
                <w:sz w:val="24"/>
                <w:szCs w:val="24"/>
                <w:lang w:val="en"/>
              </w:rPr>
              <w:t xml:space="preserve">. </w:t>
            </w:r>
            <w:r w:rsidRPr="00736C0A">
              <w:rPr>
                <w:rFonts w:asciiTheme="minorHAnsi" w:hAnsiTheme="minorHAnsi"/>
                <w:color w:val="000000"/>
                <w:sz w:val="24"/>
                <w:szCs w:val="24"/>
                <w:lang w:val="en"/>
              </w:rPr>
              <w:t>Disclosures Required for All Types of Discontinued Operations, 50-1.</w:t>
            </w:r>
            <w:r>
              <w:rPr>
                <w:rFonts w:asciiTheme="minorHAnsi" w:hAnsiTheme="minorHAnsi"/>
                <w:b w:val="0"/>
                <w:color w:val="000000"/>
                <w:sz w:val="24"/>
                <w:szCs w:val="24"/>
                <w:lang w:val="en"/>
              </w:rPr>
              <w:t xml:space="preserve"> The following shall be disclosed in the notes to the financial statements that cover the period in which a discontinued operation either has been disposed of or is classified as held for sale under the requirements of paragraph 205-20-45-1E. </w:t>
            </w:r>
          </w:p>
          <w:p w14:paraId="58BE9B7A" w14:textId="1E880EF3" w:rsidR="00A964B5" w:rsidRDefault="006D6706" w:rsidP="0033152E">
            <w:pPr>
              <w:rPr>
                <w:rFonts w:asciiTheme="minorHAnsi" w:hAnsiTheme="minorHAnsi"/>
                <w:b w:val="0"/>
                <w:color w:val="000000"/>
                <w:sz w:val="24"/>
                <w:szCs w:val="24"/>
                <w:lang w:val="en"/>
              </w:rPr>
            </w:pPr>
            <w:r>
              <w:rPr>
                <w:rFonts w:asciiTheme="minorHAnsi" w:hAnsiTheme="minorHAnsi"/>
                <w:b w:val="0"/>
                <w:color w:val="000000"/>
                <w:sz w:val="24"/>
                <w:szCs w:val="24"/>
                <w:lang w:val="en"/>
              </w:rPr>
              <w:t xml:space="preserve">a. A description of both of the following: </w:t>
            </w:r>
            <w:r w:rsidR="00A964B5">
              <w:rPr>
                <w:rFonts w:asciiTheme="minorHAnsi" w:hAnsiTheme="minorHAnsi"/>
                <w:b w:val="0"/>
                <w:color w:val="000000"/>
                <w:sz w:val="24"/>
                <w:szCs w:val="24"/>
                <w:lang w:val="en"/>
              </w:rPr>
              <w:t xml:space="preserve"> </w:t>
            </w:r>
          </w:p>
          <w:p w14:paraId="09FB9D23" w14:textId="77777777" w:rsidR="00A964B5" w:rsidRPr="00A964B5" w:rsidRDefault="006D6706" w:rsidP="0033152E">
            <w:pPr>
              <w:rPr>
                <w:rFonts w:asciiTheme="minorHAnsi" w:hAnsiTheme="minorHAnsi"/>
                <w:b w:val="0"/>
                <w:color w:val="000000"/>
                <w:sz w:val="24"/>
                <w:szCs w:val="24"/>
                <w:lang w:val="en"/>
              </w:rPr>
            </w:pPr>
            <w:r w:rsidRPr="00A964B5">
              <w:rPr>
                <w:rFonts w:asciiTheme="minorHAnsi" w:hAnsiTheme="minorHAnsi"/>
                <w:b w:val="0"/>
                <w:color w:val="000000"/>
                <w:sz w:val="24"/>
                <w:szCs w:val="24"/>
                <w:lang w:val="en"/>
              </w:rPr>
              <w:lastRenderedPageBreak/>
              <w:t xml:space="preserve">1. The facts and circumstances leading to the disposal or expected disposal </w:t>
            </w:r>
          </w:p>
          <w:p w14:paraId="58B5949F" w14:textId="77777777" w:rsidR="00A964B5" w:rsidRPr="00A964B5" w:rsidRDefault="006D6706" w:rsidP="0033152E">
            <w:pPr>
              <w:rPr>
                <w:rFonts w:asciiTheme="minorHAnsi" w:hAnsiTheme="minorHAnsi"/>
                <w:b w:val="0"/>
                <w:color w:val="000000"/>
                <w:sz w:val="24"/>
                <w:szCs w:val="24"/>
                <w:lang w:val="en"/>
              </w:rPr>
            </w:pPr>
            <w:r w:rsidRPr="00A964B5">
              <w:rPr>
                <w:rFonts w:asciiTheme="minorHAnsi" w:hAnsiTheme="minorHAnsi"/>
                <w:b w:val="0"/>
                <w:color w:val="000000"/>
                <w:sz w:val="24"/>
                <w:szCs w:val="24"/>
                <w:lang w:val="en"/>
              </w:rPr>
              <w:t xml:space="preserve">2. The expected manner and timing of that disposal. </w:t>
            </w:r>
          </w:p>
          <w:p w14:paraId="11B0F0B3" w14:textId="77777777" w:rsidR="006D6706" w:rsidRDefault="006D6706" w:rsidP="0033152E">
            <w:pPr>
              <w:rPr>
                <w:rFonts w:asciiTheme="minorHAnsi" w:hAnsiTheme="minorHAnsi"/>
                <w:b w:val="0"/>
                <w:color w:val="000000"/>
                <w:sz w:val="24"/>
                <w:szCs w:val="24"/>
                <w:lang w:val="en"/>
              </w:rPr>
            </w:pPr>
            <w:r w:rsidRPr="00A964B5">
              <w:rPr>
                <w:rFonts w:asciiTheme="minorHAnsi" w:hAnsiTheme="minorHAnsi"/>
                <w:b w:val="0"/>
                <w:color w:val="000000"/>
                <w:sz w:val="24"/>
                <w:szCs w:val="24"/>
                <w:lang w:val="en"/>
              </w:rPr>
              <w:t>b. If not separately presented on the face of the statement where net income is reported (or statement of activities for a not-for-profit) as part of discontinued operations (see paragraph 205-20-45-3B), the gain or loss recognized in accordance with paragraph 205-20-45-3C.</w:t>
            </w:r>
          </w:p>
          <w:p w14:paraId="4C0EC8C9" w14:textId="77777777" w:rsidR="00AD4714" w:rsidRDefault="00AD4714" w:rsidP="0033152E">
            <w:pPr>
              <w:rPr>
                <w:rFonts w:asciiTheme="minorHAnsi" w:hAnsiTheme="minorHAnsi"/>
                <w:b w:val="0"/>
                <w:color w:val="000000"/>
                <w:sz w:val="24"/>
                <w:szCs w:val="24"/>
                <w:lang w:val="en"/>
              </w:rPr>
            </w:pPr>
          </w:p>
          <w:p w14:paraId="423F47A3" w14:textId="77777777" w:rsidR="00AD4714" w:rsidRDefault="00AD4714" w:rsidP="0033152E">
            <w:r>
              <w:t xml:space="preserve">205-20-45-1 The results of operations of a component of an entity that either has been disposed of or is classified as held for sale under the requirements of paragraph 360-10-45-9, shall be reported in discontinued operations in accordance with paragraph 205-20-45-3 if both of the following conditions are met: </w:t>
            </w:r>
          </w:p>
          <w:p w14:paraId="32186D76" w14:textId="77777777" w:rsidR="00AD4714" w:rsidRDefault="00AD4714" w:rsidP="0033152E">
            <w:pPr>
              <w:rPr>
                <w:rFonts w:asciiTheme="minorHAnsi" w:hAnsiTheme="minorHAnsi"/>
                <w:b w:val="0"/>
                <w:color w:val="000000"/>
                <w:sz w:val="24"/>
                <w:szCs w:val="24"/>
                <w:lang w:val="en"/>
              </w:rPr>
            </w:pPr>
            <w:r w:rsidRPr="00AD4714">
              <w:rPr>
                <w:rFonts w:asciiTheme="minorHAnsi" w:hAnsiTheme="minorHAnsi"/>
                <w:b w:val="0"/>
                <w:color w:val="000000"/>
                <w:sz w:val="24"/>
                <w:szCs w:val="24"/>
                <w:lang w:val="en"/>
              </w:rPr>
              <w:t xml:space="preserve">a. The operations and cash flows of the component have been (or will be) eliminated from the ongoing operations of the entity as a result of the disposal transaction. </w:t>
            </w:r>
          </w:p>
          <w:p w14:paraId="4EB46795" w14:textId="6E2C0EBF" w:rsidR="00AD4714" w:rsidRPr="00A964B5" w:rsidRDefault="00AD4714" w:rsidP="0033152E">
            <w:pPr>
              <w:rPr>
                <w:rFonts w:asciiTheme="minorHAnsi" w:hAnsiTheme="minorHAnsi"/>
                <w:color w:val="000000"/>
                <w:sz w:val="24"/>
                <w:szCs w:val="24"/>
                <w:lang w:val="en"/>
              </w:rPr>
            </w:pPr>
            <w:r w:rsidRPr="00AD4714">
              <w:rPr>
                <w:rFonts w:asciiTheme="minorHAnsi" w:hAnsiTheme="minorHAnsi"/>
                <w:b w:val="0"/>
                <w:color w:val="000000"/>
                <w:sz w:val="24"/>
                <w:szCs w:val="24"/>
                <w:lang w:val="en"/>
              </w:rPr>
              <w:t>b. The entity will not have any significant continuing involvement in the operations of the component after the disposal transaction.</w:t>
            </w:r>
          </w:p>
        </w:tc>
        <w:tc>
          <w:tcPr>
            <w:tcW w:w="2250" w:type="dxa"/>
          </w:tcPr>
          <w:p w14:paraId="4EB46796" w14:textId="61C770FD" w:rsidR="00586697" w:rsidRPr="00B137AE" w:rsidRDefault="002859E9" w:rsidP="0033152E">
            <w:pPr>
              <w:cnfStyle w:val="000000010000" w:firstRow="0" w:lastRow="0" w:firstColumn="0" w:lastColumn="0" w:oddVBand="0" w:evenVBand="0" w:oddHBand="0" w:evenHBand="1" w:firstRowFirstColumn="0" w:firstRowLastColumn="0" w:lastRowFirstColumn="0" w:lastRowLastColumn="0"/>
              <w:rPr>
                <w:szCs w:val="22"/>
              </w:rPr>
            </w:pPr>
            <w:r>
              <w:rPr>
                <w:szCs w:val="22"/>
              </w:rPr>
              <w:lastRenderedPageBreak/>
              <w:t>Does not follow guidance.</w:t>
            </w:r>
          </w:p>
        </w:tc>
        <w:tc>
          <w:tcPr>
            <w:tcW w:w="1980" w:type="dxa"/>
          </w:tcPr>
          <w:p w14:paraId="4EB46797" w14:textId="0FFE4FC9" w:rsidR="00586697" w:rsidRPr="00B137AE" w:rsidRDefault="002859E9" w:rsidP="0033152E">
            <w:pPr>
              <w:cnfStyle w:val="000000010000" w:firstRow="0" w:lastRow="0" w:firstColumn="0" w:lastColumn="0" w:oddVBand="0" w:evenVBand="0" w:oddHBand="0" w:evenHBand="1" w:firstRowFirstColumn="0" w:firstRowLastColumn="0" w:lastRowFirstColumn="0" w:lastRowLastColumn="0"/>
              <w:rPr>
                <w:szCs w:val="22"/>
              </w:rPr>
            </w:pPr>
            <w:r>
              <w:rPr>
                <w:szCs w:val="22"/>
              </w:rPr>
              <w:t>Does not follow guidance.</w:t>
            </w:r>
          </w:p>
        </w:tc>
        <w:tc>
          <w:tcPr>
            <w:tcW w:w="1980" w:type="dxa"/>
          </w:tcPr>
          <w:p w14:paraId="4EB46798" w14:textId="4CC3E9DF" w:rsidR="00586697" w:rsidRPr="00B137AE" w:rsidRDefault="00A67095" w:rsidP="0033152E">
            <w:pPr>
              <w:cnfStyle w:val="000000010000" w:firstRow="0" w:lastRow="0" w:firstColumn="0" w:lastColumn="0" w:oddVBand="0" w:evenVBand="0" w:oddHBand="0" w:evenHBand="1" w:firstRowFirstColumn="0" w:firstRowLastColumn="0" w:lastRowFirstColumn="0" w:lastRowLastColumn="0"/>
              <w:rPr>
                <w:szCs w:val="22"/>
              </w:rPr>
            </w:pPr>
            <w:r>
              <w:rPr>
                <w:szCs w:val="22"/>
              </w:rPr>
              <w:t>Does not follow guidance.</w:t>
            </w:r>
          </w:p>
        </w:tc>
        <w:tc>
          <w:tcPr>
            <w:tcW w:w="2250" w:type="dxa"/>
          </w:tcPr>
          <w:p w14:paraId="4EB46799" w14:textId="0121FA80" w:rsidR="00586697" w:rsidRPr="00B137AE" w:rsidRDefault="00A67095" w:rsidP="0033152E">
            <w:pPr>
              <w:cnfStyle w:val="000000010000" w:firstRow="0" w:lastRow="0" w:firstColumn="0" w:lastColumn="0" w:oddVBand="0" w:evenVBand="0" w:oddHBand="0" w:evenHBand="1" w:firstRowFirstColumn="0" w:firstRowLastColumn="0" w:lastRowFirstColumn="0" w:lastRowLastColumn="0"/>
              <w:rPr>
                <w:szCs w:val="22"/>
              </w:rPr>
            </w:pPr>
            <w:r>
              <w:rPr>
                <w:szCs w:val="22"/>
              </w:rPr>
              <w:t>Need more information.</w:t>
            </w:r>
          </w:p>
        </w:tc>
      </w:tr>
      <w:tr w:rsidR="00586697" w:rsidRPr="00655FDE" w14:paraId="4EB467A0" w14:textId="77777777" w:rsidTr="00E057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2" w:type="dxa"/>
          </w:tcPr>
          <w:p w14:paraId="16012432" w14:textId="77777777" w:rsidR="00DC0B71" w:rsidRPr="00DC0B71" w:rsidRDefault="00BB6BD5" w:rsidP="0033152E">
            <w:pPr>
              <w:autoSpaceDE w:val="0"/>
              <w:autoSpaceDN w:val="0"/>
              <w:adjustRightInd w:val="0"/>
              <w:rPr>
                <w:rFonts w:asciiTheme="minorHAnsi" w:hAnsiTheme="minorHAnsi" w:cs="Times New Roman"/>
                <w:b w:val="0"/>
                <w:sz w:val="24"/>
                <w:szCs w:val="24"/>
              </w:rPr>
            </w:pPr>
            <w:r>
              <w:rPr>
                <w:rFonts w:asciiTheme="minorHAnsi" w:hAnsiTheme="minorHAnsi"/>
                <w:sz w:val="24"/>
                <w:szCs w:val="24"/>
              </w:rPr>
              <w:lastRenderedPageBreak/>
              <w:t>Industry Practice:</w:t>
            </w:r>
            <w:r w:rsidR="00586697" w:rsidRPr="00D952E5">
              <w:rPr>
                <w:rFonts w:asciiTheme="minorHAnsi" w:hAnsiTheme="minorHAnsi"/>
                <w:sz w:val="24"/>
                <w:szCs w:val="24"/>
              </w:rPr>
              <w:t xml:space="preserve"> </w:t>
            </w:r>
            <w:r w:rsidR="00586697">
              <w:rPr>
                <w:rFonts w:asciiTheme="minorHAnsi" w:hAnsiTheme="minorHAnsi" w:cs="Times New Roman"/>
                <w:sz w:val="24"/>
                <w:szCs w:val="24"/>
              </w:rPr>
              <w:t xml:space="preserve"> </w:t>
            </w:r>
            <w:r w:rsidR="00DC0B71" w:rsidRPr="00DC0B71">
              <w:rPr>
                <w:rFonts w:asciiTheme="minorHAnsi" w:hAnsiTheme="minorHAnsi" w:cs="Times New Roman"/>
                <w:b w:val="0"/>
                <w:sz w:val="24"/>
                <w:szCs w:val="24"/>
              </w:rPr>
              <w:t xml:space="preserve">Industry practice is to report discontinued operations in accordance with GAAP. As a result, in the period in which a component meets the held-for-sale and discontinued operations criteria, an entity must present the assets and liabilities of the discontinued operation separately in the asset and liability sections of the balance sheet. Assets and liabilities cannot be offset and presented as a single amount. </w:t>
            </w:r>
          </w:p>
          <w:p w14:paraId="4EB4679B" w14:textId="47C98C51" w:rsidR="00586697" w:rsidRPr="00DC0B71" w:rsidRDefault="00DC0B71" w:rsidP="0033152E">
            <w:pPr>
              <w:autoSpaceDE w:val="0"/>
              <w:autoSpaceDN w:val="0"/>
              <w:adjustRightInd w:val="0"/>
              <w:rPr>
                <w:rFonts w:asciiTheme="minorHAnsi" w:hAnsiTheme="minorHAnsi" w:cs="OpenSans-Light"/>
                <w:b w:val="0"/>
                <w:sz w:val="24"/>
                <w:szCs w:val="24"/>
              </w:rPr>
            </w:pPr>
            <w:r w:rsidRPr="00DC0B71">
              <w:rPr>
                <w:rFonts w:asciiTheme="minorHAnsi" w:hAnsiTheme="minorHAnsi" w:cs="OpenSans-Light"/>
                <w:b w:val="0"/>
                <w:sz w:val="24"/>
                <w:szCs w:val="24"/>
              </w:rPr>
              <w:t>Additionally, the results of all discontinued operations, less applicable income taxes (benefit), shall be reported as a separate component of income</w:t>
            </w:r>
            <w:r w:rsidR="0087148E">
              <w:rPr>
                <w:rFonts w:asciiTheme="minorHAnsi" w:hAnsiTheme="minorHAnsi" w:cs="OpenSans-Light"/>
                <w:b w:val="0"/>
                <w:sz w:val="24"/>
                <w:szCs w:val="24"/>
              </w:rPr>
              <w:t>.</w:t>
            </w:r>
            <w:r w:rsidRPr="00DC0B71">
              <w:rPr>
                <w:rFonts w:asciiTheme="minorHAnsi" w:hAnsiTheme="minorHAnsi" w:cs="Times New Roman"/>
                <w:b w:val="0"/>
                <w:sz w:val="24"/>
                <w:szCs w:val="24"/>
              </w:rPr>
              <w:t xml:space="preserve"> </w:t>
            </w:r>
          </w:p>
        </w:tc>
        <w:tc>
          <w:tcPr>
            <w:tcW w:w="2250" w:type="dxa"/>
          </w:tcPr>
          <w:p w14:paraId="4EB4679C" w14:textId="10A5399C" w:rsidR="00586697" w:rsidRPr="00B137AE" w:rsidRDefault="002859E9" w:rsidP="0033152E">
            <w:pPr>
              <w:cnfStyle w:val="000000100000" w:firstRow="0" w:lastRow="0" w:firstColumn="0" w:lastColumn="0" w:oddVBand="0" w:evenVBand="0" w:oddHBand="1" w:evenHBand="0" w:firstRowFirstColumn="0" w:firstRowLastColumn="0" w:lastRowFirstColumn="0" w:lastRowLastColumn="0"/>
              <w:rPr>
                <w:szCs w:val="22"/>
              </w:rPr>
            </w:pPr>
            <w:r>
              <w:rPr>
                <w:szCs w:val="22"/>
              </w:rPr>
              <w:t>Does not follow guidance.</w:t>
            </w:r>
          </w:p>
        </w:tc>
        <w:tc>
          <w:tcPr>
            <w:tcW w:w="1980" w:type="dxa"/>
          </w:tcPr>
          <w:p w14:paraId="4EB4679D" w14:textId="3F17EACD" w:rsidR="00586697" w:rsidRPr="00B137AE" w:rsidRDefault="002859E9" w:rsidP="0033152E">
            <w:pPr>
              <w:cnfStyle w:val="000000100000" w:firstRow="0" w:lastRow="0" w:firstColumn="0" w:lastColumn="0" w:oddVBand="0" w:evenVBand="0" w:oddHBand="1" w:evenHBand="0" w:firstRowFirstColumn="0" w:firstRowLastColumn="0" w:lastRowFirstColumn="0" w:lastRowLastColumn="0"/>
              <w:rPr>
                <w:szCs w:val="22"/>
              </w:rPr>
            </w:pPr>
            <w:r>
              <w:rPr>
                <w:szCs w:val="22"/>
              </w:rPr>
              <w:t>Does not follow guidance.</w:t>
            </w:r>
          </w:p>
        </w:tc>
        <w:tc>
          <w:tcPr>
            <w:tcW w:w="1980" w:type="dxa"/>
          </w:tcPr>
          <w:p w14:paraId="4EB4679E" w14:textId="49F4C137" w:rsidR="00586697" w:rsidRPr="00B137AE" w:rsidRDefault="00A67095" w:rsidP="0033152E">
            <w:pPr>
              <w:cnfStyle w:val="000000100000" w:firstRow="0" w:lastRow="0" w:firstColumn="0" w:lastColumn="0" w:oddVBand="0" w:evenVBand="0" w:oddHBand="1" w:evenHBand="0" w:firstRowFirstColumn="0" w:firstRowLastColumn="0" w:lastRowFirstColumn="0" w:lastRowLastColumn="0"/>
              <w:rPr>
                <w:szCs w:val="22"/>
              </w:rPr>
            </w:pPr>
            <w:r>
              <w:rPr>
                <w:szCs w:val="22"/>
              </w:rPr>
              <w:t>Does not follow guidance.</w:t>
            </w:r>
          </w:p>
        </w:tc>
        <w:tc>
          <w:tcPr>
            <w:tcW w:w="2250" w:type="dxa"/>
          </w:tcPr>
          <w:p w14:paraId="4EB4679F" w14:textId="2A17F642" w:rsidR="00586697" w:rsidRPr="00B137AE" w:rsidRDefault="00A67095" w:rsidP="0033152E">
            <w:pPr>
              <w:cnfStyle w:val="000000100000" w:firstRow="0" w:lastRow="0" w:firstColumn="0" w:lastColumn="0" w:oddVBand="0" w:evenVBand="0" w:oddHBand="1" w:evenHBand="0" w:firstRowFirstColumn="0" w:firstRowLastColumn="0" w:lastRowFirstColumn="0" w:lastRowLastColumn="0"/>
              <w:rPr>
                <w:szCs w:val="22"/>
              </w:rPr>
            </w:pPr>
            <w:r>
              <w:rPr>
                <w:szCs w:val="22"/>
              </w:rPr>
              <w:t>Need more information.</w:t>
            </w:r>
          </w:p>
        </w:tc>
      </w:tr>
    </w:tbl>
    <w:p w14:paraId="342AA95B" w14:textId="77777777" w:rsidR="00D87636" w:rsidRDefault="00D87636" w:rsidP="00FE3532">
      <w:pPr>
        <w:pStyle w:val="Heading1"/>
        <w:tabs>
          <w:tab w:val="left" w:pos="6675"/>
        </w:tabs>
        <w:ind w:left="-2160" w:firstLine="180"/>
        <w:rPr>
          <w:sz w:val="24"/>
        </w:rPr>
      </w:pPr>
    </w:p>
    <w:p w14:paraId="4EB467A8" w14:textId="0E0014CD" w:rsidR="00FE3532" w:rsidRDefault="006A5955" w:rsidP="00FE3532">
      <w:pPr>
        <w:pStyle w:val="Heading1"/>
        <w:tabs>
          <w:tab w:val="left" w:pos="6675"/>
        </w:tabs>
        <w:ind w:left="-2160" w:firstLine="180"/>
        <w:rPr>
          <w:rFonts w:ascii="Garamond" w:hAnsi="Garamond"/>
          <w:bCs w:val="0"/>
          <w:color w:val="auto"/>
          <w:kern w:val="0"/>
          <w:sz w:val="24"/>
          <w:szCs w:val="20"/>
        </w:rPr>
      </w:pPr>
      <w:r>
        <w:rPr>
          <w:sz w:val="24"/>
        </w:rPr>
        <w:t>Discussion</w:t>
      </w:r>
      <w:r w:rsidR="00FE3532" w:rsidRPr="007B3038">
        <w:rPr>
          <w:rFonts w:ascii="Garamond" w:hAnsi="Garamond"/>
          <w:bCs w:val="0"/>
          <w:color w:val="auto"/>
          <w:kern w:val="0"/>
          <w:sz w:val="24"/>
          <w:szCs w:val="20"/>
        </w:rPr>
        <w:t xml:space="preserve"> </w:t>
      </w:r>
    </w:p>
    <w:p w14:paraId="491ED6FA" w14:textId="59A2FC5F" w:rsidR="000A730C" w:rsidRPr="000A730C" w:rsidRDefault="000A730C" w:rsidP="000A730C">
      <w:pPr>
        <w:ind w:left="-810"/>
        <w:rPr>
          <w:sz w:val="24"/>
        </w:rPr>
      </w:pPr>
      <w:r>
        <w:rPr>
          <w:sz w:val="24"/>
        </w:rPr>
        <w:t xml:space="preserve">The DoDI 1015.15 and FMR are currently including </w:t>
      </w:r>
      <w:r w:rsidRPr="000A730C">
        <w:rPr>
          <w:sz w:val="24"/>
        </w:rPr>
        <w:t xml:space="preserve">NAF expenses from Base Realignment and Closure (BRAC) and installation closure actions </w:t>
      </w:r>
      <w:r>
        <w:rPr>
          <w:sz w:val="24"/>
        </w:rPr>
        <w:t>within</w:t>
      </w:r>
      <w:r w:rsidRPr="000A730C">
        <w:rPr>
          <w:sz w:val="24"/>
        </w:rPr>
        <w:t xml:space="preserve"> extraordinary items.</w:t>
      </w:r>
      <w:r>
        <w:rPr>
          <w:sz w:val="24"/>
        </w:rPr>
        <w:t xml:space="preserve"> This procedure conflicts with GAAP guidance to present discontinued operations </w:t>
      </w:r>
      <w:r w:rsidR="00692188">
        <w:rPr>
          <w:sz w:val="24"/>
        </w:rPr>
        <w:t xml:space="preserve">as a separately disclosed line item on the face of the financial statements. </w:t>
      </w:r>
      <w:r w:rsidR="00F7038E">
        <w:rPr>
          <w:sz w:val="24"/>
        </w:rPr>
        <w:t xml:space="preserve">Additionally, GAAP has eliminated the term extraordinary items and replaced it with infrequent and unusual items </w:t>
      </w:r>
      <w:r w:rsidR="0087148E">
        <w:rPr>
          <w:sz w:val="24"/>
        </w:rPr>
        <w:t xml:space="preserve">that can be disclosed in the footnotes or presented </w:t>
      </w:r>
      <w:r w:rsidR="00F7038E">
        <w:rPr>
          <w:sz w:val="24"/>
        </w:rPr>
        <w:t>as a line item within ordinary income</w:t>
      </w:r>
      <w:r w:rsidR="0087148E">
        <w:rPr>
          <w:sz w:val="24"/>
        </w:rPr>
        <w:t>, as long as that presentation does not provide an additional net income figure or an alternative figure for any other key metric such as earnings per share (ASU 2015 01)</w:t>
      </w:r>
      <w:r w:rsidR="00F7038E">
        <w:rPr>
          <w:sz w:val="24"/>
        </w:rPr>
        <w:t>.</w:t>
      </w:r>
      <w:r w:rsidR="00472D90">
        <w:rPr>
          <w:sz w:val="24"/>
        </w:rPr>
        <w:t xml:space="preserve"> The removal of extraordinary items is discussed in Paper #10.</w:t>
      </w:r>
    </w:p>
    <w:p w14:paraId="4EB467AA" w14:textId="77777777" w:rsidR="00FE3532" w:rsidRDefault="00FE3532" w:rsidP="00FE3532">
      <w:pPr>
        <w:pStyle w:val="Heading1"/>
        <w:tabs>
          <w:tab w:val="left" w:pos="6675"/>
        </w:tabs>
        <w:ind w:left="-2160" w:firstLine="180"/>
        <w:rPr>
          <w:sz w:val="24"/>
        </w:rPr>
      </w:pPr>
    </w:p>
    <w:p w14:paraId="4EB467AB" w14:textId="77777777" w:rsidR="00FE3532" w:rsidRDefault="006A5955" w:rsidP="00FE3532">
      <w:pPr>
        <w:pStyle w:val="Heading1"/>
        <w:tabs>
          <w:tab w:val="left" w:pos="6675"/>
        </w:tabs>
        <w:ind w:left="-2160" w:firstLine="180"/>
        <w:rPr>
          <w:sz w:val="24"/>
        </w:rPr>
      </w:pPr>
      <w:r>
        <w:rPr>
          <w:sz w:val="24"/>
        </w:rPr>
        <w:t>Recommendation</w:t>
      </w:r>
    </w:p>
    <w:p w14:paraId="091CC241" w14:textId="522CF420" w:rsidR="002E5B66" w:rsidRDefault="007D319A" w:rsidP="000A730C">
      <w:pPr>
        <w:ind w:left="-810"/>
        <w:rPr>
          <w:sz w:val="24"/>
        </w:rPr>
      </w:pPr>
      <w:r>
        <w:rPr>
          <w:sz w:val="24"/>
        </w:rPr>
        <w:t xml:space="preserve">The 1015.15 as it currently stands does not contain a discontinued operations section. </w:t>
      </w:r>
      <w:r w:rsidR="0087148E">
        <w:rPr>
          <w:sz w:val="24"/>
        </w:rPr>
        <w:t>We recommend that the Services account for BRAC closures as discontinued operations and follow the presentation guidelines provided by GAAP which are present in the above table</w:t>
      </w:r>
      <w:r>
        <w:rPr>
          <w:sz w:val="24"/>
        </w:rPr>
        <w:t xml:space="preserve">. </w:t>
      </w:r>
      <w:r w:rsidR="00D456AB">
        <w:rPr>
          <w:sz w:val="24"/>
        </w:rPr>
        <w:t xml:space="preserve">We further recommend that the Services follow </w:t>
      </w:r>
      <w:r w:rsidR="00CB552E">
        <w:rPr>
          <w:sz w:val="24"/>
        </w:rPr>
        <w:t>the principle that cash flows (costs or revenues) with a causal relationship to the closure of the base should be included in the calculation of discontinued operations</w:t>
      </w:r>
      <w:r w:rsidR="00D456AB">
        <w:rPr>
          <w:sz w:val="24"/>
        </w:rPr>
        <w:t>.</w:t>
      </w:r>
      <w:r w:rsidR="00CB552E">
        <w:rPr>
          <w:sz w:val="24"/>
        </w:rPr>
        <w:t xml:space="preserve"> The proceeds received from the DOD Base Closure Account should be included in the cash flows associated with the discontinued operation, as discontinued operation cash flows include “disposal of other than by sale”, according to GAAP. We recommend that proceeds of any assets sold, residual income from programs, and closing expenses be included in cash flow from discontinued operations.</w:t>
      </w:r>
      <w:r w:rsidR="00D456AB">
        <w:rPr>
          <w:sz w:val="24"/>
        </w:rPr>
        <w:t xml:space="preserve"> </w:t>
      </w:r>
      <w:r w:rsidR="00CB552E">
        <w:rPr>
          <w:sz w:val="24"/>
        </w:rPr>
        <w:t xml:space="preserve"> </w:t>
      </w:r>
      <w:r w:rsidR="000A730C">
        <w:rPr>
          <w:sz w:val="24"/>
        </w:rPr>
        <w:t>Each service should present discontinued</w:t>
      </w:r>
      <w:r w:rsidR="001B3D4F">
        <w:rPr>
          <w:sz w:val="24"/>
        </w:rPr>
        <w:t xml:space="preserve"> operations in the same manner.</w:t>
      </w:r>
      <w:r w:rsidR="000A730C">
        <w:rPr>
          <w:sz w:val="24"/>
        </w:rPr>
        <w:t xml:space="preserve"> </w:t>
      </w:r>
      <w:r w:rsidR="002E5B66">
        <w:rPr>
          <w:sz w:val="24"/>
        </w:rPr>
        <w:t xml:space="preserve">We recommend that future BRAC actions follow this guidance, and record closures of bases as part of discontinued operations. Likewise, programs that have been cancelled should also be considered part of discontinued operations. </w:t>
      </w:r>
    </w:p>
    <w:p w14:paraId="6786A621" w14:textId="77777777" w:rsidR="002E5B66" w:rsidRDefault="002E5B66" w:rsidP="000A730C">
      <w:pPr>
        <w:ind w:left="-810"/>
        <w:rPr>
          <w:sz w:val="24"/>
        </w:rPr>
      </w:pPr>
    </w:p>
    <w:p w14:paraId="55E22D9C" w14:textId="0A3B0249" w:rsidR="00CB552E" w:rsidRDefault="002E5B66" w:rsidP="000A730C">
      <w:pPr>
        <w:ind w:left="-810"/>
        <w:rPr>
          <w:sz w:val="24"/>
        </w:rPr>
      </w:pPr>
      <w:r>
        <w:rPr>
          <w:sz w:val="24"/>
        </w:rPr>
        <w:t xml:space="preserve">We contend that closure of programs or installations is part of normal operations for an MWR fund, and do not consider these actions to meet the previous definition of extraordinary. While a case could be made for reporting these closures as “Infrequent” losses or gains (per Paper #10), </w:t>
      </w:r>
      <w:r w:rsidR="00F917EF">
        <w:rPr>
          <w:sz w:val="24"/>
        </w:rPr>
        <w:t xml:space="preserve">we recommend using the discontinued operations section as more reflective of the reality that these gains or losses arose from base closures, and may appear in a subsequent accounting period before ceasing to generate losses or gains. Infrequent items, in our view, are to be one-off events that are not predictable- whereas a base closure may affect multiple consecutive accounting periods. </w:t>
      </w:r>
    </w:p>
    <w:p w14:paraId="542420BA" w14:textId="7189C962" w:rsidR="00CB552E" w:rsidRDefault="00CB552E" w:rsidP="00F917EF">
      <w:pPr>
        <w:rPr>
          <w:sz w:val="24"/>
        </w:rPr>
      </w:pPr>
    </w:p>
    <w:p w14:paraId="48CB2C4A" w14:textId="2B3EAF26" w:rsidR="000A730C" w:rsidRPr="000A730C" w:rsidRDefault="000A730C" w:rsidP="000A730C">
      <w:pPr>
        <w:ind w:left="-810"/>
        <w:rPr>
          <w:bCs/>
          <w:sz w:val="24"/>
        </w:rPr>
      </w:pPr>
      <w:r>
        <w:rPr>
          <w:sz w:val="24"/>
        </w:rPr>
        <w:t xml:space="preserve">Additionally, the DoDI 1015.15 and the FMR are currently </w:t>
      </w:r>
      <w:r w:rsidRPr="000A730C">
        <w:rPr>
          <w:bCs/>
          <w:sz w:val="24"/>
        </w:rPr>
        <w:t xml:space="preserve">in conflict with GAAP. </w:t>
      </w:r>
      <w:r w:rsidR="0087148E">
        <w:rPr>
          <w:bCs/>
          <w:sz w:val="24"/>
        </w:rPr>
        <w:t>We r</w:t>
      </w:r>
      <w:r w:rsidR="0087148E" w:rsidRPr="000A730C">
        <w:rPr>
          <w:bCs/>
          <w:sz w:val="24"/>
        </w:rPr>
        <w:t>ecommend</w:t>
      </w:r>
      <w:r w:rsidR="0087148E">
        <w:rPr>
          <w:bCs/>
          <w:sz w:val="24"/>
        </w:rPr>
        <w:t xml:space="preserve"> the Services work in conjunction w</w:t>
      </w:r>
      <w:r w:rsidR="001B3D4F">
        <w:rPr>
          <w:bCs/>
          <w:sz w:val="24"/>
        </w:rPr>
        <w:t xml:space="preserve">ith OSD and DFAS in editing </w:t>
      </w:r>
      <w:r w:rsidRPr="000A730C">
        <w:rPr>
          <w:bCs/>
          <w:sz w:val="24"/>
        </w:rPr>
        <w:t xml:space="preserve">the </w:t>
      </w:r>
      <w:r>
        <w:rPr>
          <w:bCs/>
          <w:sz w:val="24"/>
        </w:rPr>
        <w:t xml:space="preserve">DoDI 1015.15 and </w:t>
      </w:r>
      <w:r w:rsidRPr="000A730C">
        <w:rPr>
          <w:bCs/>
          <w:sz w:val="24"/>
        </w:rPr>
        <w:t xml:space="preserve">FMR to remove the </w:t>
      </w:r>
      <w:r w:rsidR="00F917EF">
        <w:rPr>
          <w:bCs/>
          <w:sz w:val="24"/>
        </w:rPr>
        <w:t>concept of extraordinary items, and introduce guidance on the reporting and presentation of discontinued operations</w:t>
      </w:r>
      <w:r w:rsidR="00AD4714">
        <w:rPr>
          <w:bCs/>
          <w:sz w:val="24"/>
        </w:rPr>
        <w:t xml:space="preserve"> consistent with GAAP</w:t>
      </w:r>
      <w:r w:rsidR="00F917EF">
        <w:rPr>
          <w:bCs/>
          <w:sz w:val="24"/>
        </w:rPr>
        <w:t xml:space="preserve">. </w:t>
      </w:r>
    </w:p>
    <w:p w14:paraId="747B5A24" w14:textId="033AE2DE" w:rsidR="008C3E22" w:rsidRDefault="000A730C" w:rsidP="000A730C">
      <w:pPr>
        <w:ind w:left="-810"/>
        <w:rPr>
          <w:rFonts w:asciiTheme="minorHAnsi" w:hAnsiTheme="minorHAnsi"/>
          <w:sz w:val="24"/>
        </w:rPr>
      </w:pPr>
      <w:r w:rsidRPr="000A730C">
        <w:rPr>
          <w:sz w:val="24"/>
        </w:rPr>
        <w:t xml:space="preserve">  </w:t>
      </w:r>
    </w:p>
    <w:p w14:paraId="4EB467AE" w14:textId="1534A403" w:rsidR="006A5955" w:rsidRDefault="006A5955" w:rsidP="00D87636">
      <w:pPr>
        <w:pStyle w:val="Heading1"/>
        <w:tabs>
          <w:tab w:val="left" w:pos="6675"/>
        </w:tabs>
        <w:ind w:left="-2160" w:firstLine="180"/>
        <w:rPr>
          <w:sz w:val="24"/>
        </w:rPr>
      </w:pPr>
      <w:r>
        <w:rPr>
          <w:sz w:val="24"/>
        </w:rPr>
        <w:t>Service Concurrence</w:t>
      </w:r>
    </w:p>
    <w:tbl>
      <w:tblPr>
        <w:tblStyle w:val="TableGrid"/>
        <w:tblW w:w="0" w:type="auto"/>
        <w:tblInd w:w="-1173" w:type="dxa"/>
        <w:tblLook w:val="04A0" w:firstRow="1" w:lastRow="0" w:firstColumn="1" w:lastColumn="0" w:noHBand="0" w:noVBand="1"/>
      </w:tblPr>
      <w:tblGrid>
        <w:gridCol w:w="1918"/>
        <w:gridCol w:w="3120"/>
        <w:gridCol w:w="7021"/>
      </w:tblGrid>
      <w:tr w:rsidR="00D87636" w14:paraId="4EB467B2" w14:textId="77777777" w:rsidTr="00F11CB1">
        <w:tc>
          <w:tcPr>
            <w:tcW w:w="19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B467AF" w14:textId="77777777" w:rsidR="00D87636" w:rsidRDefault="00D87636" w:rsidP="003C3A5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Service</w:t>
            </w:r>
          </w:p>
        </w:tc>
        <w:tc>
          <w:tcPr>
            <w:tcW w:w="312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B467B0" w14:textId="2BFDE81F" w:rsidR="00D87636" w:rsidRDefault="00D87636" w:rsidP="003C3A5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Concurrence</w:t>
            </w:r>
          </w:p>
        </w:tc>
        <w:tc>
          <w:tcPr>
            <w:tcW w:w="70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B467B1" w14:textId="792B5501" w:rsidR="00D87636" w:rsidRDefault="00D87636" w:rsidP="00205006">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Reason</w:t>
            </w:r>
            <w:r w:rsidR="00C84A8C">
              <w:rPr>
                <w:rFonts w:asciiTheme="minorHAnsi" w:hAnsiTheme="minorHAnsi" w:cstheme="majorHAnsi"/>
                <w:color w:val="auto"/>
                <w:sz w:val="24"/>
              </w:rPr>
              <w:t xml:space="preserve"> for Non-concurrence</w:t>
            </w:r>
          </w:p>
        </w:tc>
      </w:tr>
      <w:tr w:rsidR="00D87636" w14:paraId="4EB467B6" w14:textId="77777777" w:rsidTr="00F11CB1">
        <w:trPr>
          <w:trHeight w:val="444"/>
        </w:trPr>
        <w:tc>
          <w:tcPr>
            <w:tcW w:w="1918" w:type="dxa"/>
            <w:tcBorders>
              <w:top w:val="single" w:sz="4" w:space="0" w:color="auto"/>
              <w:left w:val="single" w:sz="4" w:space="0" w:color="auto"/>
              <w:bottom w:val="single" w:sz="4" w:space="0" w:color="auto"/>
              <w:right w:val="single" w:sz="4" w:space="0" w:color="auto"/>
            </w:tcBorders>
            <w:hideMark/>
          </w:tcPr>
          <w:p w14:paraId="4EB467B3" w14:textId="77777777" w:rsidR="00D87636" w:rsidRDefault="00D87636"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Air Force</w:t>
            </w:r>
          </w:p>
        </w:tc>
        <w:tc>
          <w:tcPr>
            <w:tcW w:w="3120" w:type="dxa"/>
            <w:tcBorders>
              <w:top w:val="single" w:sz="4" w:space="0" w:color="auto"/>
              <w:left w:val="single" w:sz="4" w:space="0" w:color="auto"/>
              <w:bottom w:val="single" w:sz="4" w:space="0" w:color="auto"/>
              <w:right w:val="single" w:sz="4" w:space="0" w:color="auto"/>
            </w:tcBorders>
          </w:tcPr>
          <w:p w14:paraId="4EB467B4" w14:textId="504340EB" w:rsidR="00D87636" w:rsidRPr="00F11CB1" w:rsidRDefault="00F11CB1" w:rsidP="00FB70DD">
            <w:pPr>
              <w:pStyle w:val="Heading1"/>
              <w:tabs>
                <w:tab w:val="left" w:pos="6675"/>
              </w:tabs>
              <w:rPr>
                <w:rFonts w:asciiTheme="minorHAnsi" w:hAnsiTheme="minorHAnsi" w:cstheme="majorHAnsi"/>
                <w:b/>
                <w:color w:val="auto"/>
                <w:sz w:val="24"/>
              </w:rPr>
            </w:pPr>
            <w:r w:rsidRPr="00F11CB1">
              <w:rPr>
                <w:rFonts w:asciiTheme="minorHAnsi" w:hAnsiTheme="minorHAnsi" w:cstheme="majorHAnsi"/>
                <w:b/>
                <w:color w:val="auto"/>
                <w:sz w:val="24"/>
              </w:rPr>
              <w:t>Concurred on 10/25/2018.</w:t>
            </w:r>
          </w:p>
        </w:tc>
        <w:tc>
          <w:tcPr>
            <w:tcW w:w="7021" w:type="dxa"/>
            <w:tcBorders>
              <w:top w:val="single" w:sz="4" w:space="0" w:color="auto"/>
              <w:left w:val="single" w:sz="4" w:space="0" w:color="auto"/>
              <w:bottom w:val="single" w:sz="4" w:space="0" w:color="auto"/>
              <w:right w:val="single" w:sz="4" w:space="0" w:color="auto"/>
            </w:tcBorders>
          </w:tcPr>
          <w:p w14:paraId="4EB467B5" w14:textId="7A996056" w:rsidR="00D87636" w:rsidRDefault="00D87636" w:rsidP="003C3A5C">
            <w:pPr>
              <w:pStyle w:val="Heading1"/>
              <w:tabs>
                <w:tab w:val="left" w:pos="6675"/>
              </w:tabs>
              <w:rPr>
                <w:rFonts w:asciiTheme="minorHAnsi" w:hAnsiTheme="minorHAnsi" w:cstheme="majorHAnsi"/>
                <w:color w:val="auto"/>
                <w:sz w:val="24"/>
              </w:rPr>
            </w:pPr>
          </w:p>
        </w:tc>
      </w:tr>
      <w:tr w:rsidR="00D87636" w14:paraId="4EB467BA" w14:textId="77777777" w:rsidTr="00F11CB1">
        <w:trPr>
          <w:trHeight w:val="444"/>
        </w:trPr>
        <w:tc>
          <w:tcPr>
            <w:tcW w:w="1918" w:type="dxa"/>
            <w:tcBorders>
              <w:top w:val="single" w:sz="4" w:space="0" w:color="auto"/>
              <w:left w:val="single" w:sz="4" w:space="0" w:color="auto"/>
              <w:bottom w:val="single" w:sz="4" w:space="0" w:color="auto"/>
              <w:right w:val="single" w:sz="4" w:space="0" w:color="auto"/>
            </w:tcBorders>
            <w:hideMark/>
          </w:tcPr>
          <w:p w14:paraId="4EB467B7" w14:textId="77777777" w:rsidR="00D87636" w:rsidRDefault="00D87636"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Army</w:t>
            </w:r>
          </w:p>
        </w:tc>
        <w:tc>
          <w:tcPr>
            <w:tcW w:w="3120" w:type="dxa"/>
            <w:tcBorders>
              <w:top w:val="single" w:sz="4" w:space="0" w:color="auto"/>
              <w:left w:val="single" w:sz="4" w:space="0" w:color="auto"/>
              <w:bottom w:val="single" w:sz="4" w:space="0" w:color="auto"/>
              <w:right w:val="single" w:sz="4" w:space="0" w:color="auto"/>
            </w:tcBorders>
          </w:tcPr>
          <w:p w14:paraId="4EB467B8" w14:textId="1804B4F7" w:rsidR="00D87636" w:rsidRPr="005A101B" w:rsidRDefault="00F11CB1" w:rsidP="00FC64A5">
            <w:pPr>
              <w:pStyle w:val="Heading1"/>
              <w:tabs>
                <w:tab w:val="left" w:pos="6675"/>
              </w:tabs>
              <w:rPr>
                <w:rFonts w:asciiTheme="minorHAnsi" w:hAnsiTheme="minorHAnsi" w:cstheme="majorHAnsi"/>
                <w:color w:val="auto"/>
                <w:sz w:val="24"/>
              </w:rPr>
            </w:pPr>
            <w:r w:rsidRPr="00F11CB1">
              <w:rPr>
                <w:rFonts w:asciiTheme="minorHAnsi" w:hAnsiTheme="minorHAnsi" w:cstheme="majorHAnsi"/>
                <w:b/>
                <w:color w:val="auto"/>
                <w:sz w:val="24"/>
              </w:rPr>
              <w:t>Concurred on 10/25/2018.</w:t>
            </w:r>
          </w:p>
        </w:tc>
        <w:tc>
          <w:tcPr>
            <w:tcW w:w="7021" w:type="dxa"/>
            <w:tcBorders>
              <w:top w:val="single" w:sz="4" w:space="0" w:color="auto"/>
              <w:left w:val="single" w:sz="4" w:space="0" w:color="auto"/>
              <w:bottom w:val="single" w:sz="4" w:space="0" w:color="auto"/>
              <w:right w:val="single" w:sz="4" w:space="0" w:color="auto"/>
            </w:tcBorders>
          </w:tcPr>
          <w:p w14:paraId="4EB467B9" w14:textId="1F4F9DF4" w:rsidR="00D87636" w:rsidRDefault="00D87636" w:rsidP="003C3A5C">
            <w:pPr>
              <w:pStyle w:val="Heading1"/>
              <w:tabs>
                <w:tab w:val="left" w:pos="6675"/>
              </w:tabs>
              <w:rPr>
                <w:rFonts w:asciiTheme="minorHAnsi" w:hAnsiTheme="minorHAnsi" w:cstheme="majorHAnsi"/>
                <w:color w:val="auto"/>
                <w:sz w:val="24"/>
              </w:rPr>
            </w:pPr>
          </w:p>
        </w:tc>
      </w:tr>
      <w:tr w:rsidR="00D87636" w14:paraId="4EB467BE" w14:textId="77777777" w:rsidTr="00F11CB1">
        <w:trPr>
          <w:trHeight w:val="435"/>
        </w:trPr>
        <w:tc>
          <w:tcPr>
            <w:tcW w:w="1918" w:type="dxa"/>
            <w:tcBorders>
              <w:top w:val="single" w:sz="4" w:space="0" w:color="auto"/>
              <w:left w:val="single" w:sz="4" w:space="0" w:color="auto"/>
              <w:bottom w:val="single" w:sz="4" w:space="0" w:color="auto"/>
              <w:right w:val="single" w:sz="4" w:space="0" w:color="auto"/>
            </w:tcBorders>
            <w:hideMark/>
          </w:tcPr>
          <w:p w14:paraId="4EB467BB" w14:textId="77777777" w:rsidR="00D87636" w:rsidRDefault="00D87636"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 xml:space="preserve">Marines </w:t>
            </w:r>
          </w:p>
        </w:tc>
        <w:tc>
          <w:tcPr>
            <w:tcW w:w="3120" w:type="dxa"/>
            <w:tcBorders>
              <w:top w:val="single" w:sz="4" w:space="0" w:color="auto"/>
              <w:left w:val="single" w:sz="4" w:space="0" w:color="auto"/>
              <w:bottom w:val="single" w:sz="4" w:space="0" w:color="auto"/>
              <w:right w:val="single" w:sz="4" w:space="0" w:color="auto"/>
            </w:tcBorders>
          </w:tcPr>
          <w:p w14:paraId="4EB467BC" w14:textId="51FBF958" w:rsidR="00D87636" w:rsidRPr="005A101B" w:rsidRDefault="00F11CB1" w:rsidP="0072194C">
            <w:pPr>
              <w:pStyle w:val="Heading1"/>
              <w:tabs>
                <w:tab w:val="left" w:pos="6675"/>
              </w:tabs>
              <w:rPr>
                <w:rFonts w:asciiTheme="minorHAnsi" w:hAnsiTheme="minorHAnsi" w:cstheme="majorHAnsi"/>
                <w:color w:val="auto"/>
                <w:sz w:val="24"/>
              </w:rPr>
            </w:pPr>
            <w:r w:rsidRPr="00F11CB1">
              <w:rPr>
                <w:rFonts w:asciiTheme="minorHAnsi" w:hAnsiTheme="minorHAnsi" w:cstheme="majorHAnsi"/>
                <w:b/>
                <w:color w:val="auto"/>
                <w:sz w:val="24"/>
              </w:rPr>
              <w:t>Concurred on 10/25/2018.</w:t>
            </w:r>
          </w:p>
        </w:tc>
        <w:tc>
          <w:tcPr>
            <w:tcW w:w="7021" w:type="dxa"/>
            <w:tcBorders>
              <w:top w:val="single" w:sz="4" w:space="0" w:color="auto"/>
              <w:left w:val="single" w:sz="4" w:space="0" w:color="auto"/>
              <w:bottom w:val="single" w:sz="4" w:space="0" w:color="auto"/>
              <w:right w:val="single" w:sz="4" w:space="0" w:color="auto"/>
            </w:tcBorders>
          </w:tcPr>
          <w:p w14:paraId="4EB467BD" w14:textId="76491909" w:rsidR="00D87636" w:rsidRDefault="00D87636" w:rsidP="003C3A5C">
            <w:pPr>
              <w:pStyle w:val="Heading1"/>
              <w:tabs>
                <w:tab w:val="left" w:pos="6675"/>
              </w:tabs>
              <w:rPr>
                <w:rFonts w:asciiTheme="minorHAnsi" w:hAnsiTheme="minorHAnsi" w:cstheme="majorHAnsi"/>
                <w:color w:val="auto"/>
                <w:sz w:val="24"/>
              </w:rPr>
            </w:pPr>
          </w:p>
        </w:tc>
      </w:tr>
      <w:tr w:rsidR="00D87636" w14:paraId="4EB467C2" w14:textId="77777777" w:rsidTr="00F11CB1">
        <w:trPr>
          <w:trHeight w:val="435"/>
        </w:trPr>
        <w:tc>
          <w:tcPr>
            <w:tcW w:w="1918" w:type="dxa"/>
            <w:tcBorders>
              <w:top w:val="single" w:sz="4" w:space="0" w:color="auto"/>
              <w:left w:val="single" w:sz="4" w:space="0" w:color="auto"/>
              <w:bottom w:val="single" w:sz="4" w:space="0" w:color="auto"/>
              <w:right w:val="single" w:sz="4" w:space="0" w:color="auto"/>
            </w:tcBorders>
            <w:hideMark/>
          </w:tcPr>
          <w:p w14:paraId="4EB467BF" w14:textId="77777777" w:rsidR="00D87636" w:rsidRDefault="00D87636"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Navy</w:t>
            </w:r>
          </w:p>
        </w:tc>
        <w:tc>
          <w:tcPr>
            <w:tcW w:w="3120" w:type="dxa"/>
            <w:tcBorders>
              <w:top w:val="single" w:sz="4" w:space="0" w:color="auto"/>
              <w:left w:val="single" w:sz="4" w:space="0" w:color="auto"/>
              <w:bottom w:val="single" w:sz="4" w:space="0" w:color="auto"/>
              <w:right w:val="single" w:sz="4" w:space="0" w:color="auto"/>
            </w:tcBorders>
          </w:tcPr>
          <w:p w14:paraId="4EB467C0" w14:textId="6D5F5B4D" w:rsidR="00D87636" w:rsidRPr="005A101B" w:rsidRDefault="00F11CB1" w:rsidP="00FB70DD">
            <w:pPr>
              <w:pStyle w:val="Heading1"/>
              <w:tabs>
                <w:tab w:val="left" w:pos="6675"/>
              </w:tabs>
              <w:rPr>
                <w:rFonts w:asciiTheme="minorHAnsi" w:hAnsiTheme="minorHAnsi" w:cstheme="majorHAnsi"/>
                <w:color w:val="auto"/>
                <w:sz w:val="24"/>
              </w:rPr>
            </w:pPr>
            <w:r w:rsidRPr="00F11CB1">
              <w:rPr>
                <w:rFonts w:asciiTheme="minorHAnsi" w:hAnsiTheme="minorHAnsi" w:cstheme="majorHAnsi"/>
                <w:b/>
                <w:color w:val="auto"/>
                <w:sz w:val="24"/>
              </w:rPr>
              <w:t>Concurred on 10/25/2018.</w:t>
            </w:r>
          </w:p>
        </w:tc>
        <w:tc>
          <w:tcPr>
            <w:tcW w:w="7021" w:type="dxa"/>
            <w:tcBorders>
              <w:top w:val="single" w:sz="4" w:space="0" w:color="auto"/>
              <w:left w:val="single" w:sz="4" w:space="0" w:color="auto"/>
              <w:bottom w:val="single" w:sz="4" w:space="0" w:color="auto"/>
              <w:right w:val="single" w:sz="4" w:space="0" w:color="auto"/>
            </w:tcBorders>
          </w:tcPr>
          <w:p w14:paraId="4EB467C1" w14:textId="08F7D5DF" w:rsidR="00D87636" w:rsidRDefault="00D87636" w:rsidP="00FB70DD">
            <w:pPr>
              <w:pStyle w:val="Heading1"/>
              <w:tabs>
                <w:tab w:val="left" w:pos="6675"/>
              </w:tabs>
              <w:rPr>
                <w:rFonts w:asciiTheme="minorHAnsi" w:hAnsiTheme="minorHAnsi" w:cstheme="majorHAnsi"/>
                <w:color w:val="auto"/>
                <w:sz w:val="24"/>
              </w:rPr>
            </w:pPr>
          </w:p>
        </w:tc>
      </w:tr>
    </w:tbl>
    <w:p w14:paraId="120BB74B" w14:textId="77777777" w:rsidR="006D2CBF" w:rsidRPr="006D2CBF" w:rsidRDefault="006D2CBF" w:rsidP="006D2CBF">
      <w:pPr>
        <w:pStyle w:val="BodyText"/>
      </w:pPr>
    </w:p>
    <w:p w14:paraId="4EB467C4" w14:textId="7EE70A6C" w:rsidR="002453C4" w:rsidRDefault="002453C4" w:rsidP="002453C4">
      <w:pPr>
        <w:pStyle w:val="Heading1"/>
        <w:tabs>
          <w:tab w:val="left" w:pos="6675"/>
        </w:tabs>
        <w:ind w:left="-2160" w:firstLine="180"/>
        <w:rPr>
          <w:sz w:val="24"/>
        </w:rPr>
      </w:pPr>
      <w:r>
        <w:rPr>
          <w:sz w:val="24"/>
        </w:rPr>
        <w:t>USD(</w:t>
      </w:r>
      <w:r w:rsidR="00D87636">
        <w:rPr>
          <w:sz w:val="24"/>
        </w:rPr>
        <w:t>P&amp;R</w:t>
      </w:r>
      <w:r>
        <w:rPr>
          <w:sz w:val="24"/>
        </w:rPr>
        <w:t>)</w:t>
      </w:r>
      <w:r w:rsidR="00D87636">
        <w:rPr>
          <w:sz w:val="24"/>
        </w:rPr>
        <w:t>/MC&amp;FP Disposition</w:t>
      </w:r>
    </w:p>
    <w:p w14:paraId="4EB467C5" w14:textId="77777777" w:rsidR="002453C4" w:rsidRDefault="002453C4" w:rsidP="002453C4">
      <w:pPr>
        <w:tabs>
          <w:tab w:val="left" w:pos="720"/>
          <w:tab w:val="left" w:pos="2160"/>
        </w:tabs>
        <w:ind w:left="-810"/>
        <w:rPr>
          <w:sz w:val="24"/>
        </w:rPr>
      </w:pPr>
    </w:p>
    <w:p w14:paraId="1452D52F" w14:textId="4072DAFF" w:rsidR="00F11CB1" w:rsidRPr="00C93656" w:rsidRDefault="00F11CB1" w:rsidP="00F11CB1">
      <w:pPr>
        <w:pStyle w:val="ChapterTitle"/>
        <w:ind w:left="-720"/>
        <w:rPr>
          <w:rFonts w:asciiTheme="minorHAnsi" w:hAnsiTheme="minorHAnsi"/>
          <w:sz w:val="24"/>
        </w:rPr>
      </w:pPr>
      <w:r>
        <w:rPr>
          <w:rFonts w:asciiTheme="minorHAnsi" w:hAnsiTheme="minorHAnsi"/>
          <w:sz w:val="24"/>
        </w:rPr>
        <w:t>Revise 1015.15</w:t>
      </w:r>
      <w:r w:rsidR="00217B83">
        <w:rPr>
          <w:rFonts w:asciiTheme="minorHAnsi" w:hAnsiTheme="minorHAnsi"/>
          <w:sz w:val="24"/>
        </w:rPr>
        <w:t xml:space="preserve"> to remove concept of Extraordinary Items and align reporting and presentation of Discontinued Operations with GAAP</w:t>
      </w:r>
      <w:r>
        <w:rPr>
          <w:rFonts w:asciiTheme="minorHAnsi" w:hAnsiTheme="minorHAnsi"/>
          <w:sz w:val="24"/>
        </w:rPr>
        <w:t>.</w:t>
      </w:r>
    </w:p>
    <w:p w14:paraId="4EB467C7" w14:textId="2B1CC998" w:rsidR="002453C4" w:rsidRDefault="002453C4" w:rsidP="00F11CB1">
      <w:pPr>
        <w:pStyle w:val="Heading1"/>
        <w:tabs>
          <w:tab w:val="left" w:pos="6675"/>
        </w:tabs>
        <w:rPr>
          <w:sz w:val="24"/>
        </w:rPr>
      </w:pPr>
    </w:p>
    <w:p w14:paraId="4EB467C8" w14:textId="44D4079A" w:rsidR="002453C4" w:rsidRDefault="00D87636" w:rsidP="002453C4">
      <w:pPr>
        <w:pStyle w:val="Heading1"/>
        <w:tabs>
          <w:tab w:val="left" w:pos="6675"/>
        </w:tabs>
        <w:ind w:left="-2160" w:firstLine="180"/>
        <w:rPr>
          <w:rFonts w:ascii="Garamond" w:hAnsi="Garamond"/>
          <w:bCs w:val="0"/>
          <w:color w:val="auto"/>
          <w:kern w:val="0"/>
          <w:sz w:val="24"/>
          <w:szCs w:val="20"/>
        </w:rPr>
      </w:pPr>
      <w:r>
        <w:rPr>
          <w:sz w:val="24"/>
        </w:rPr>
        <w:t>DFAS Disposition</w:t>
      </w:r>
      <w:r w:rsidR="002453C4" w:rsidRPr="00F47C97">
        <w:rPr>
          <w:rFonts w:ascii="Garamond" w:hAnsi="Garamond"/>
          <w:bCs w:val="0"/>
          <w:color w:val="auto"/>
          <w:kern w:val="0"/>
          <w:sz w:val="24"/>
          <w:szCs w:val="20"/>
        </w:rPr>
        <w:t xml:space="preserve"> </w:t>
      </w:r>
      <w:r w:rsidR="002453C4">
        <w:rPr>
          <w:rFonts w:ascii="Garamond" w:hAnsi="Garamond"/>
          <w:bCs w:val="0"/>
          <w:color w:val="auto"/>
          <w:kern w:val="0"/>
          <w:sz w:val="24"/>
          <w:szCs w:val="20"/>
        </w:rPr>
        <w:t xml:space="preserve"> </w:t>
      </w:r>
    </w:p>
    <w:p w14:paraId="4EB467C9" w14:textId="77777777" w:rsidR="002453C4" w:rsidRDefault="002453C4" w:rsidP="002453C4">
      <w:pPr>
        <w:ind w:left="-810"/>
        <w:rPr>
          <w:sz w:val="24"/>
        </w:rPr>
      </w:pPr>
    </w:p>
    <w:p w14:paraId="054C93A1" w14:textId="0347EDE2" w:rsidR="00F11CB1" w:rsidRPr="00C93656" w:rsidRDefault="00F11CB1" w:rsidP="00F11CB1">
      <w:pPr>
        <w:pStyle w:val="ChapterTitle"/>
        <w:ind w:left="-720"/>
        <w:rPr>
          <w:rFonts w:asciiTheme="minorHAnsi" w:hAnsiTheme="minorHAnsi"/>
          <w:sz w:val="24"/>
        </w:rPr>
      </w:pPr>
      <w:r>
        <w:rPr>
          <w:rFonts w:asciiTheme="minorHAnsi" w:hAnsiTheme="minorHAnsi"/>
          <w:sz w:val="24"/>
        </w:rPr>
        <w:t>Revise FMR</w:t>
      </w:r>
      <w:r w:rsidR="00217B83">
        <w:rPr>
          <w:rFonts w:asciiTheme="minorHAnsi" w:hAnsiTheme="minorHAnsi"/>
          <w:sz w:val="24"/>
        </w:rPr>
        <w:t xml:space="preserve"> to remove concept of Extraordinary Items and align reporting and presentation of Discontinued Operations with GAAP</w:t>
      </w:r>
      <w:r>
        <w:rPr>
          <w:rFonts w:asciiTheme="minorHAnsi" w:hAnsiTheme="minorHAnsi"/>
          <w:sz w:val="24"/>
        </w:rPr>
        <w:t>.</w:t>
      </w:r>
    </w:p>
    <w:p w14:paraId="4EB467CB" w14:textId="7B62B137" w:rsidR="002453C4" w:rsidRPr="007B3038" w:rsidRDefault="002453C4" w:rsidP="00DE3F6D">
      <w:pPr>
        <w:rPr>
          <w:sz w:val="24"/>
        </w:rPr>
      </w:pPr>
    </w:p>
    <w:p w14:paraId="4EB467CC" w14:textId="51E650C5" w:rsidR="002453C4" w:rsidRDefault="002453C4" w:rsidP="002453C4">
      <w:pPr>
        <w:pStyle w:val="Heading1"/>
        <w:tabs>
          <w:tab w:val="left" w:pos="6675"/>
        </w:tabs>
        <w:ind w:left="-2160" w:firstLine="180"/>
        <w:rPr>
          <w:sz w:val="24"/>
        </w:rPr>
      </w:pPr>
      <w:r w:rsidRPr="007B3038">
        <w:rPr>
          <w:sz w:val="24"/>
        </w:rPr>
        <w:t xml:space="preserve">Forward to </w:t>
      </w:r>
      <w:r w:rsidR="00D87636">
        <w:rPr>
          <w:sz w:val="24"/>
        </w:rPr>
        <w:t>DoD</w:t>
      </w:r>
      <w:r w:rsidRPr="007B3038">
        <w:rPr>
          <w:sz w:val="24"/>
        </w:rPr>
        <w:t xml:space="preserve">IG?    </w:t>
      </w:r>
    </w:p>
    <w:p w14:paraId="4EB467CD" w14:textId="77777777" w:rsidR="002453C4" w:rsidRPr="00F47C97" w:rsidRDefault="002453C4" w:rsidP="002453C4">
      <w:pPr>
        <w:pStyle w:val="Heading1"/>
        <w:tabs>
          <w:tab w:val="left" w:pos="6675"/>
        </w:tabs>
        <w:ind w:left="-2160" w:firstLine="180"/>
        <w:rPr>
          <w:sz w:val="24"/>
        </w:rPr>
      </w:pPr>
    </w:p>
    <w:p w14:paraId="66C5574C" w14:textId="5DE19B07" w:rsidR="00F11CB1" w:rsidRPr="00C93656" w:rsidRDefault="00F11CB1" w:rsidP="00F11CB1">
      <w:pPr>
        <w:pStyle w:val="ChapterTitle"/>
        <w:ind w:left="-720"/>
        <w:rPr>
          <w:rFonts w:asciiTheme="minorHAnsi" w:hAnsiTheme="minorHAnsi"/>
          <w:sz w:val="24"/>
        </w:rPr>
      </w:pPr>
      <w:r>
        <w:rPr>
          <w:rFonts w:asciiTheme="minorHAnsi" w:hAnsiTheme="minorHAnsi"/>
          <w:sz w:val="24"/>
        </w:rPr>
        <w:t>No DoDIG equities.</w:t>
      </w:r>
    </w:p>
    <w:p w14:paraId="4EB467CF" w14:textId="0720B450" w:rsidR="00422176" w:rsidRPr="00F47C97" w:rsidRDefault="00422176" w:rsidP="005B3096">
      <w:pPr>
        <w:rPr>
          <w:sz w:val="24"/>
        </w:rPr>
      </w:pPr>
    </w:p>
    <w:sectPr w:rsidR="00422176" w:rsidRPr="00F47C97" w:rsidSect="00BB5F9B">
      <w:headerReference w:type="default" r:id="rId12"/>
      <w:footerReference w:type="default" r:id="rId13"/>
      <w:pgSz w:w="15840" w:h="12240" w:orient="landscape" w:code="1"/>
      <w:pgMar w:top="1985" w:right="821" w:bottom="1138" w:left="2608"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29A05" w14:textId="77777777" w:rsidR="00D0088C" w:rsidRDefault="00D0088C">
      <w:r>
        <w:separator/>
      </w:r>
    </w:p>
  </w:endnote>
  <w:endnote w:type="continuationSeparator" w:id="0">
    <w:p w14:paraId="352025A6" w14:textId="77777777" w:rsidR="00D0088C" w:rsidRDefault="00D0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OpenSans-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40"/>
      <w:docPartObj>
        <w:docPartGallery w:val="Page Numbers (Bottom of Page)"/>
        <w:docPartUnique/>
      </w:docPartObj>
    </w:sdtPr>
    <w:sdtEndPr>
      <w:rPr>
        <w:noProof/>
      </w:rPr>
    </w:sdtEndPr>
    <w:sdtContent>
      <w:p w14:paraId="4EB467D6" w14:textId="0D9A59A4" w:rsidR="00916522" w:rsidRDefault="00834B9A" w:rsidP="00916522">
        <w:pPr>
          <w:pStyle w:val="Footer"/>
          <w:jc w:val="right"/>
          <w:rPr>
            <w:noProof/>
          </w:rPr>
        </w:pPr>
        <w:r>
          <w:fldChar w:fldCharType="begin"/>
        </w:r>
        <w:r>
          <w:instrText xml:space="preserve"> PAGE   \* MERGEFORMAT </w:instrText>
        </w:r>
        <w:r>
          <w:fldChar w:fldCharType="separate"/>
        </w:r>
        <w:r w:rsidR="00C056D5">
          <w:rPr>
            <w:noProof/>
          </w:rPr>
          <w:t>5</w:t>
        </w:r>
        <w:r>
          <w:rPr>
            <w:noProof/>
          </w:rPr>
          <w:fldChar w:fldCharType="end"/>
        </w:r>
      </w:p>
      <w:p w14:paraId="4EB467D7" w14:textId="06DF73E3" w:rsidR="00834B9A" w:rsidRDefault="00D87636" w:rsidP="00916522">
        <w:pPr>
          <w:pStyle w:val="Footer"/>
          <w:jc w:val="right"/>
        </w:pPr>
        <w:r>
          <w:rPr>
            <w:noProof/>
          </w:rPr>
          <w:t>September 19, 2018</w:t>
        </w:r>
      </w:p>
    </w:sdtContent>
  </w:sdt>
  <w:p w14:paraId="4EB467D8" w14:textId="77777777" w:rsidR="00834B9A" w:rsidRDefault="0083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34407" w14:textId="77777777" w:rsidR="00D0088C" w:rsidRDefault="00D0088C">
      <w:r>
        <w:separator/>
      </w:r>
    </w:p>
  </w:footnote>
  <w:footnote w:type="continuationSeparator" w:id="0">
    <w:p w14:paraId="0CBFC0FC" w14:textId="77777777" w:rsidR="00D0088C" w:rsidRDefault="00D00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8539" w14:textId="479EE654" w:rsidR="00D87636" w:rsidRDefault="00D87636" w:rsidP="00437683">
    <w:pPr>
      <w:pStyle w:val="Header"/>
      <w:jc w:val="center"/>
      <w:rPr>
        <w:rFonts w:asciiTheme="minorHAnsi" w:hAnsiTheme="minorHAnsi"/>
        <w:sz w:val="32"/>
      </w:rPr>
    </w:pPr>
    <w:r>
      <w:rPr>
        <w:rFonts w:asciiTheme="minorHAnsi" w:hAnsiTheme="minorHAnsi"/>
        <w:sz w:val="32"/>
      </w:rPr>
      <w:t>NAF Accounting Working Group</w:t>
    </w:r>
  </w:p>
  <w:p w14:paraId="4EB467D4" w14:textId="303DCBBC" w:rsidR="00834B9A" w:rsidRDefault="00522347" w:rsidP="00437683">
    <w:pPr>
      <w:pStyle w:val="Header"/>
      <w:jc w:val="center"/>
      <w:rPr>
        <w:rFonts w:asciiTheme="minorHAnsi" w:hAnsiTheme="minorHAnsi"/>
        <w:sz w:val="32"/>
      </w:rPr>
    </w:pPr>
    <w:r>
      <w:rPr>
        <w:rFonts w:asciiTheme="minorHAnsi" w:hAnsiTheme="minorHAnsi"/>
        <w:sz w:val="32"/>
      </w:rPr>
      <w:t>Discontinued Operations</w:t>
    </w:r>
  </w:p>
  <w:p w14:paraId="4EB467D5" w14:textId="19AA302D" w:rsidR="00834B9A" w:rsidRPr="00437683" w:rsidRDefault="00D5136F" w:rsidP="00437683">
    <w:pPr>
      <w:pStyle w:val="Header"/>
      <w:jc w:val="center"/>
      <w:rPr>
        <w:rFonts w:asciiTheme="minorHAnsi" w:hAnsiTheme="minorHAnsi"/>
        <w:sz w:val="32"/>
      </w:rPr>
    </w:pPr>
    <w:r>
      <w:rPr>
        <w:rFonts w:asciiTheme="minorHAnsi" w:hAnsiTheme="minorHAnsi"/>
        <w:sz w:val="32"/>
      </w:rPr>
      <w:t>Position</w:t>
    </w:r>
    <w:r w:rsidR="0033152E">
      <w:rPr>
        <w:rFonts w:asciiTheme="minorHAnsi" w:hAnsiTheme="minorHAnsi"/>
        <w:sz w:val="32"/>
      </w:rPr>
      <w:t xml:space="preserve"> Paper</w:t>
    </w:r>
    <w:r w:rsidR="00D87636">
      <w:rPr>
        <w:rFonts w:asciiTheme="minorHAnsi" w:hAnsiTheme="minorHAnsi"/>
        <w:sz w:val="32"/>
      </w:rPr>
      <w:t xml:space="preserve"> #28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15:restartNumberingAfterBreak="0">
    <w:nsid w:val="058F5F58"/>
    <w:multiLevelType w:val="hybridMultilevel"/>
    <w:tmpl w:val="FC38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F705FE4"/>
    <w:multiLevelType w:val="hybridMultilevel"/>
    <w:tmpl w:val="C8C6CD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03FBA"/>
    <w:multiLevelType w:val="hybridMultilevel"/>
    <w:tmpl w:val="EDB008E6"/>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22A5D7C"/>
    <w:multiLevelType w:val="hybridMultilevel"/>
    <w:tmpl w:val="D880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63987"/>
    <w:multiLevelType w:val="hybridMultilevel"/>
    <w:tmpl w:val="7BA29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62B4F"/>
    <w:multiLevelType w:val="hybridMultilevel"/>
    <w:tmpl w:val="581C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90B32"/>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C2388"/>
    <w:multiLevelType w:val="hybridMultilevel"/>
    <w:tmpl w:val="A6801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36F75EBB"/>
    <w:multiLevelType w:val="hybridMultilevel"/>
    <w:tmpl w:val="E6FAB672"/>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9BD34EC"/>
    <w:multiLevelType w:val="hybridMultilevel"/>
    <w:tmpl w:val="FA8A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D3DCF"/>
    <w:multiLevelType w:val="hybridMultilevel"/>
    <w:tmpl w:val="B6626D7E"/>
    <w:lvl w:ilvl="0" w:tplc="04090001">
      <w:start w:val="1"/>
      <w:numFmt w:val="bullet"/>
      <w:lvlText w:val=""/>
      <w:lvlJc w:val="left"/>
      <w:pPr>
        <w:ind w:left="720" w:hanging="360"/>
      </w:pPr>
      <w:rPr>
        <w:rFonts w:ascii="Symbol" w:hAnsi="Symbol" w:hint="default"/>
      </w:rPr>
    </w:lvl>
    <w:lvl w:ilvl="1" w:tplc="A11A11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508D6"/>
    <w:multiLevelType w:val="hybridMultilevel"/>
    <w:tmpl w:val="7A78D02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0119C"/>
    <w:multiLevelType w:val="hybridMultilevel"/>
    <w:tmpl w:val="95D2081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AC654D"/>
    <w:multiLevelType w:val="hybridMultilevel"/>
    <w:tmpl w:val="A53A0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D36A81"/>
    <w:multiLevelType w:val="hybridMultilevel"/>
    <w:tmpl w:val="31CA57F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3F13057"/>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5850D9"/>
    <w:multiLevelType w:val="hybridMultilevel"/>
    <w:tmpl w:val="D5D29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AAC6626"/>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6"/>
  </w:num>
  <w:num w:numId="4">
    <w:abstractNumId w:val="3"/>
  </w:num>
  <w:num w:numId="5">
    <w:abstractNumId w:val="2"/>
  </w:num>
  <w:num w:numId="6">
    <w:abstractNumId w:val="1"/>
  </w:num>
  <w:num w:numId="7">
    <w:abstractNumId w:val="0"/>
  </w:num>
  <w:num w:numId="8">
    <w:abstractNumId w:val="9"/>
  </w:num>
  <w:num w:numId="9">
    <w:abstractNumId w:val="17"/>
  </w:num>
  <w:num w:numId="10">
    <w:abstractNumId w:val="15"/>
  </w:num>
  <w:num w:numId="11">
    <w:abstractNumId w:val="12"/>
  </w:num>
  <w:num w:numId="12">
    <w:abstractNumId w:val="16"/>
  </w:num>
  <w:num w:numId="13">
    <w:abstractNumId w:val="8"/>
  </w:num>
  <w:num w:numId="14">
    <w:abstractNumId w:val="11"/>
  </w:num>
  <w:num w:numId="15">
    <w:abstractNumId w:val="19"/>
  </w:num>
  <w:num w:numId="16">
    <w:abstractNumId w:val="5"/>
  </w:num>
  <w:num w:numId="17">
    <w:abstractNumId w:val="13"/>
  </w:num>
  <w:num w:numId="18">
    <w:abstractNumId w:val="27"/>
  </w:num>
  <w:num w:numId="19">
    <w:abstractNumId w:val="24"/>
  </w:num>
  <w:num w:numId="20">
    <w:abstractNumId w:val="18"/>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5"/>
  </w:num>
  <w:num w:numId="25">
    <w:abstractNumId w:val="10"/>
  </w:num>
  <w:num w:numId="26">
    <w:abstractNumId w:val="20"/>
  </w:num>
  <w:num w:numId="27">
    <w:abstractNumId w:val="21"/>
  </w:num>
  <w:num w:numId="28">
    <w:abstractNumId w:val="23"/>
  </w:num>
  <w:num w:numId="2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F7"/>
    <w:rsid w:val="000048C5"/>
    <w:rsid w:val="00006441"/>
    <w:rsid w:val="00026805"/>
    <w:rsid w:val="00054CDA"/>
    <w:rsid w:val="00064594"/>
    <w:rsid w:val="00074688"/>
    <w:rsid w:val="00074A55"/>
    <w:rsid w:val="000823F9"/>
    <w:rsid w:val="0008612D"/>
    <w:rsid w:val="0009688F"/>
    <w:rsid w:val="000A730C"/>
    <w:rsid w:val="000B3111"/>
    <w:rsid w:val="000C2E9A"/>
    <w:rsid w:val="000C78FF"/>
    <w:rsid w:val="000C7B49"/>
    <w:rsid w:val="000D2B3E"/>
    <w:rsid w:val="000E029A"/>
    <w:rsid w:val="000E43D8"/>
    <w:rsid w:val="000E4F6D"/>
    <w:rsid w:val="000F4AF0"/>
    <w:rsid w:val="000F700D"/>
    <w:rsid w:val="0012715F"/>
    <w:rsid w:val="00131C7C"/>
    <w:rsid w:val="00156EF7"/>
    <w:rsid w:val="001A6927"/>
    <w:rsid w:val="001B3D4F"/>
    <w:rsid w:val="001C1C84"/>
    <w:rsid w:val="001C7E4C"/>
    <w:rsid w:val="001D1FE2"/>
    <w:rsid w:val="001D40C4"/>
    <w:rsid w:val="001E45B8"/>
    <w:rsid w:val="001E60EE"/>
    <w:rsid w:val="001E6F57"/>
    <w:rsid w:val="001F06DE"/>
    <w:rsid w:val="001F20AE"/>
    <w:rsid w:val="00200A58"/>
    <w:rsid w:val="00202660"/>
    <w:rsid w:val="00205006"/>
    <w:rsid w:val="002139FD"/>
    <w:rsid w:val="00213D94"/>
    <w:rsid w:val="00217B83"/>
    <w:rsid w:val="002208F1"/>
    <w:rsid w:val="00235DD8"/>
    <w:rsid w:val="00244470"/>
    <w:rsid w:val="002453C4"/>
    <w:rsid w:val="002479EF"/>
    <w:rsid w:val="00250B79"/>
    <w:rsid w:val="00254FC0"/>
    <w:rsid w:val="00257D56"/>
    <w:rsid w:val="0027260E"/>
    <w:rsid w:val="00277DC7"/>
    <w:rsid w:val="00281D8A"/>
    <w:rsid w:val="002859E9"/>
    <w:rsid w:val="002A51E3"/>
    <w:rsid w:val="002A5C61"/>
    <w:rsid w:val="002C0344"/>
    <w:rsid w:val="002C131F"/>
    <w:rsid w:val="002E2034"/>
    <w:rsid w:val="002E5B66"/>
    <w:rsid w:val="002F6648"/>
    <w:rsid w:val="0030084D"/>
    <w:rsid w:val="003023EB"/>
    <w:rsid w:val="00305C57"/>
    <w:rsid w:val="0030628A"/>
    <w:rsid w:val="0033152E"/>
    <w:rsid w:val="00334FD3"/>
    <w:rsid w:val="00354D4F"/>
    <w:rsid w:val="00375E78"/>
    <w:rsid w:val="00384E6C"/>
    <w:rsid w:val="00391BB7"/>
    <w:rsid w:val="00392013"/>
    <w:rsid w:val="003B0A4D"/>
    <w:rsid w:val="003B23B5"/>
    <w:rsid w:val="003B345C"/>
    <w:rsid w:val="003B793A"/>
    <w:rsid w:val="003D05EE"/>
    <w:rsid w:val="003E0276"/>
    <w:rsid w:val="003E28A0"/>
    <w:rsid w:val="003E7371"/>
    <w:rsid w:val="003F016B"/>
    <w:rsid w:val="00422176"/>
    <w:rsid w:val="00437683"/>
    <w:rsid w:val="0044428A"/>
    <w:rsid w:val="00453C14"/>
    <w:rsid w:val="00461B46"/>
    <w:rsid w:val="00472D90"/>
    <w:rsid w:val="0047306F"/>
    <w:rsid w:val="00480D6F"/>
    <w:rsid w:val="004B04B3"/>
    <w:rsid w:val="004C13D3"/>
    <w:rsid w:val="004C5CD8"/>
    <w:rsid w:val="004C60DD"/>
    <w:rsid w:val="004E456D"/>
    <w:rsid w:val="004F6BF2"/>
    <w:rsid w:val="005056DF"/>
    <w:rsid w:val="00505AD6"/>
    <w:rsid w:val="00520CE6"/>
    <w:rsid w:val="00520EF0"/>
    <w:rsid w:val="00522347"/>
    <w:rsid w:val="00531E3B"/>
    <w:rsid w:val="005445C4"/>
    <w:rsid w:val="00556680"/>
    <w:rsid w:val="0056384A"/>
    <w:rsid w:val="00564E9E"/>
    <w:rsid w:val="00574C0D"/>
    <w:rsid w:val="005832BC"/>
    <w:rsid w:val="00586697"/>
    <w:rsid w:val="00593599"/>
    <w:rsid w:val="005A101B"/>
    <w:rsid w:val="005A493E"/>
    <w:rsid w:val="005A6C22"/>
    <w:rsid w:val="005B3096"/>
    <w:rsid w:val="005B36B4"/>
    <w:rsid w:val="005B382E"/>
    <w:rsid w:val="005C4F21"/>
    <w:rsid w:val="005C6106"/>
    <w:rsid w:val="005D4A27"/>
    <w:rsid w:val="005D7123"/>
    <w:rsid w:val="005F3D8E"/>
    <w:rsid w:val="005F4E22"/>
    <w:rsid w:val="00614C6D"/>
    <w:rsid w:val="00614F7A"/>
    <w:rsid w:val="006167A9"/>
    <w:rsid w:val="00617250"/>
    <w:rsid w:val="006214C7"/>
    <w:rsid w:val="00621BA3"/>
    <w:rsid w:val="006227D6"/>
    <w:rsid w:val="006308EF"/>
    <w:rsid w:val="00634138"/>
    <w:rsid w:val="00634D8E"/>
    <w:rsid w:val="00655FDE"/>
    <w:rsid w:val="00674186"/>
    <w:rsid w:val="00677C39"/>
    <w:rsid w:val="00680AC5"/>
    <w:rsid w:val="006864BB"/>
    <w:rsid w:val="00692188"/>
    <w:rsid w:val="006959C4"/>
    <w:rsid w:val="006A5955"/>
    <w:rsid w:val="006B07F7"/>
    <w:rsid w:val="006B117D"/>
    <w:rsid w:val="006B75A6"/>
    <w:rsid w:val="006C0251"/>
    <w:rsid w:val="006C1360"/>
    <w:rsid w:val="006C4D3D"/>
    <w:rsid w:val="006D2CBF"/>
    <w:rsid w:val="006D6706"/>
    <w:rsid w:val="007006E4"/>
    <w:rsid w:val="00702014"/>
    <w:rsid w:val="00713DA9"/>
    <w:rsid w:val="00715C51"/>
    <w:rsid w:val="0072194C"/>
    <w:rsid w:val="00721E95"/>
    <w:rsid w:val="00725A45"/>
    <w:rsid w:val="00736C0A"/>
    <w:rsid w:val="00753436"/>
    <w:rsid w:val="00757BEE"/>
    <w:rsid w:val="00793390"/>
    <w:rsid w:val="007B2CA1"/>
    <w:rsid w:val="007B4282"/>
    <w:rsid w:val="007C4C86"/>
    <w:rsid w:val="007D3058"/>
    <w:rsid w:val="007D319A"/>
    <w:rsid w:val="007D7687"/>
    <w:rsid w:val="007E0913"/>
    <w:rsid w:val="007E3B59"/>
    <w:rsid w:val="007F4150"/>
    <w:rsid w:val="007F6A23"/>
    <w:rsid w:val="0080326D"/>
    <w:rsid w:val="00804D1D"/>
    <w:rsid w:val="00810916"/>
    <w:rsid w:val="00811031"/>
    <w:rsid w:val="0082172C"/>
    <w:rsid w:val="0082211C"/>
    <w:rsid w:val="00823542"/>
    <w:rsid w:val="0082463C"/>
    <w:rsid w:val="00825615"/>
    <w:rsid w:val="00832D4C"/>
    <w:rsid w:val="00834B9A"/>
    <w:rsid w:val="00835D15"/>
    <w:rsid w:val="00841891"/>
    <w:rsid w:val="00850E2C"/>
    <w:rsid w:val="00852416"/>
    <w:rsid w:val="008612FE"/>
    <w:rsid w:val="0087148E"/>
    <w:rsid w:val="00882C61"/>
    <w:rsid w:val="00884B99"/>
    <w:rsid w:val="008975EF"/>
    <w:rsid w:val="008A3F93"/>
    <w:rsid w:val="008A6680"/>
    <w:rsid w:val="008C2E4C"/>
    <w:rsid w:val="008C3E22"/>
    <w:rsid w:val="008E5F3F"/>
    <w:rsid w:val="00903A0C"/>
    <w:rsid w:val="00914FE9"/>
    <w:rsid w:val="00916522"/>
    <w:rsid w:val="009176E5"/>
    <w:rsid w:val="009178E1"/>
    <w:rsid w:val="00922BDE"/>
    <w:rsid w:val="00922CE3"/>
    <w:rsid w:val="00931310"/>
    <w:rsid w:val="009321A5"/>
    <w:rsid w:val="0093411F"/>
    <w:rsid w:val="0093576F"/>
    <w:rsid w:val="00936310"/>
    <w:rsid w:val="009365BD"/>
    <w:rsid w:val="0093757F"/>
    <w:rsid w:val="00951999"/>
    <w:rsid w:val="00951C84"/>
    <w:rsid w:val="00962760"/>
    <w:rsid w:val="00963CF5"/>
    <w:rsid w:val="009728E5"/>
    <w:rsid w:val="0099726B"/>
    <w:rsid w:val="009B373B"/>
    <w:rsid w:val="009C0DE8"/>
    <w:rsid w:val="009C50A3"/>
    <w:rsid w:val="009C5348"/>
    <w:rsid w:val="009E5112"/>
    <w:rsid w:val="00A07E9F"/>
    <w:rsid w:val="00A13276"/>
    <w:rsid w:val="00A351E8"/>
    <w:rsid w:val="00A40E24"/>
    <w:rsid w:val="00A4393C"/>
    <w:rsid w:val="00A630E9"/>
    <w:rsid w:val="00A64C29"/>
    <w:rsid w:val="00A67095"/>
    <w:rsid w:val="00A7516A"/>
    <w:rsid w:val="00A80017"/>
    <w:rsid w:val="00A86750"/>
    <w:rsid w:val="00A868E1"/>
    <w:rsid w:val="00A964B5"/>
    <w:rsid w:val="00AC06AF"/>
    <w:rsid w:val="00AC2CD2"/>
    <w:rsid w:val="00AC54D9"/>
    <w:rsid w:val="00AC63DC"/>
    <w:rsid w:val="00AD192A"/>
    <w:rsid w:val="00AD4714"/>
    <w:rsid w:val="00AD5984"/>
    <w:rsid w:val="00B12B96"/>
    <w:rsid w:val="00B137AE"/>
    <w:rsid w:val="00B13DC6"/>
    <w:rsid w:val="00B15549"/>
    <w:rsid w:val="00B32748"/>
    <w:rsid w:val="00B3571B"/>
    <w:rsid w:val="00B410EB"/>
    <w:rsid w:val="00B426FF"/>
    <w:rsid w:val="00B477AC"/>
    <w:rsid w:val="00B506B3"/>
    <w:rsid w:val="00B555AF"/>
    <w:rsid w:val="00B63743"/>
    <w:rsid w:val="00B72016"/>
    <w:rsid w:val="00B8124C"/>
    <w:rsid w:val="00B90DAD"/>
    <w:rsid w:val="00B936DA"/>
    <w:rsid w:val="00BA2305"/>
    <w:rsid w:val="00BA5A26"/>
    <w:rsid w:val="00BB16AF"/>
    <w:rsid w:val="00BB5F9B"/>
    <w:rsid w:val="00BB6BD5"/>
    <w:rsid w:val="00BC03AD"/>
    <w:rsid w:val="00BC370C"/>
    <w:rsid w:val="00BD441B"/>
    <w:rsid w:val="00BD7E80"/>
    <w:rsid w:val="00BE3BAC"/>
    <w:rsid w:val="00BE7657"/>
    <w:rsid w:val="00BF1BDE"/>
    <w:rsid w:val="00C056D5"/>
    <w:rsid w:val="00C05FE2"/>
    <w:rsid w:val="00C06A41"/>
    <w:rsid w:val="00C16F9E"/>
    <w:rsid w:val="00C20748"/>
    <w:rsid w:val="00C228C6"/>
    <w:rsid w:val="00C26B8F"/>
    <w:rsid w:val="00C26E0E"/>
    <w:rsid w:val="00C460F9"/>
    <w:rsid w:val="00C46895"/>
    <w:rsid w:val="00C55B6E"/>
    <w:rsid w:val="00C57363"/>
    <w:rsid w:val="00C61361"/>
    <w:rsid w:val="00C6570E"/>
    <w:rsid w:val="00C67082"/>
    <w:rsid w:val="00C74212"/>
    <w:rsid w:val="00C7614D"/>
    <w:rsid w:val="00C81F02"/>
    <w:rsid w:val="00C84A8C"/>
    <w:rsid w:val="00C910A7"/>
    <w:rsid w:val="00C91D86"/>
    <w:rsid w:val="00C92A90"/>
    <w:rsid w:val="00CA0F9B"/>
    <w:rsid w:val="00CA14CA"/>
    <w:rsid w:val="00CA44C4"/>
    <w:rsid w:val="00CB2C1B"/>
    <w:rsid w:val="00CB43EB"/>
    <w:rsid w:val="00CB552E"/>
    <w:rsid w:val="00CE3032"/>
    <w:rsid w:val="00CE3414"/>
    <w:rsid w:val="00CE370F"/>
    <w:rsid w:val="00CE39FF"/>
    <w:rsid w:val="00CF260A"/>
    <w:rsid w:val="00CF293F"/>
    <w:rsid w:val="00D0088C"/>
    <w:rsid w:val="00D021B1"/>
    <w:rsid w:val="00D0530D"/>
    <w:rsid w:val="00D12F3F"/>
    <w:rsid w:val="00D1410C"/>
    <w:rsid w:val="00D148D7"/>
    <w:rsid w:val="00D25BE2"/>
    <w:rsid w:val="00D37F78"/>
    <w:rsid w:val="00D456AB"/>
    <w:rsid w:val="00D5136F"/>
    <w:rsid w:val="00D53D16"/>
    <w:rsid w:val="00D54911"/>
    <w:rsid w:val="00D71125"/>
    <w:rsid w:val="00D71751"/>
    <w:rsid w:val="00D853CE"/>
    <w:rsid w:val="00D87636"/>
    <w:rsid w:val="00D952E5"/>
    <w:rsid w:val="00DA6C4D"/>
    <w:rsid w:val="00DC0B71"/>
    <w:rsid w:val="00DC1E9B"/>
    <w:rsid w:val="00DD5DC6"/>
    <w:rsid w:val="00DE1F78"/>
    <w:rsid w:val="00DE346C"/>
    <w:rsid w:val="00DE3F6D"/>
    <w:rsid w:val="00DF662C"/>
    <w:rsid w:val="00E0577A"/>
    <w:rsid w:val="00E13016"/>
    <w:rsid w:val="00E17AAF"/>
    <w:rsid w:val="00E21DE5"/>
    <w:rsid w:val="00E360CB"/>
    <w:rsid w:val="00E45173"/>
    <w:rsid w:val="00E46EBA"/>
    <w:rsid w:val="00E542AF"/>
    <w:rsid w:val="00E55085"/>
    <w:rsid w:val="00E55249"/>
    <w:rsid w:val="00E61C20"/>
    <w:rsid w:val="00E623E9"/>
    <w:rsid w:val="00E64F72"/>
    <w:rsid w:val="00E749D0"/>
    <w:rsid w:val="00E80C75"/>
    <w:rsid w:val="00E82A4B"/>
    <w:rsid w:val="00E86CD3"/>
    <w:rsid w:val="00E90A82"/>
    <w:rsid w:val="00E96F04"/>
    <w:rsid w:val="00ED6A35"/>
    <w:rsid w:val="00EE0D2D"/>
    <w:rsid w:val="00EE34EB"/>
    <w:rsid w:val="00EF04BB"/>
    <w:rsid w:val="00EF37BB"/>
    <w:rsid w:val="00F056D3"/>
    <w:rsid w:val="00F05EBE"/>
    <w:rsid w:val="00F07668"/>
    <w:rsid w:val="00F07B6D"/>
    <w:rsid w:val="00F11CB1"/>
    <w:rsid w:val="00F21151"/>
    <w:rsid w:val="00F26CD1"/>
    <w:rsid w:val="00F44314"/>
    <w:rsid w:val="00F44666"/>
    <w:rsid w:val="00F45570"/>
    <w:rsid w:val="00F47B9A"/>
    <w:rsid w:val="00F55B46"/>
    <w:rsid w:val="00F56DC3"/>
    <w:rsid w:val="00F57187"/>
    <w:rsid w:val="00F61A99"/>
    <w:rsid w:val="00F6431F"/>
    <w:rsid w:val="00F7038E"/>
    <w:rsid w:val="00F706B0"/>
    <w:rsid w:val="00F917EF"/>
    <w:rsid w:val="00FA723B"/>
    <w:rsid w:val="00FA77F1"/>
    <w:rsid w:val="00FB70DD"/>
    <w:rsid w:val="00FC20BB"/>
    <w:rsid w:val="00FC64A5"/>
    <w:rsid w:val="00FC70BD"/>
    <w:rsid w:val="00FD3716"/>
    <w:rsid w:val="00FD71DA"/>
    <w:rsid w:val="00FE3532"/>
    <w:rsid w:val="00FE6CFD"/>
    <w:rsid w:val="00FF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B46774"/>
  <w15:docId w15:val="{B6C5A362-529D-4EFF-8D24-BFB76FE3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6EF7"/>
    <w:rPr>
      <w:rFonts w:ascii="Garamond" w:hAnsi="Garamond" w:cs="Arial"/>
      <w:sz w:val="22"/>
    </w:rPr>
  </w:style>
  <w:style w:type="paragraph" w:styleId="Heading1">
    <w:name w:val="heading 1"/>
    <w:basedOn w:val="Normal"/>
    <w:next w:val="BodyText"/>
    <w:link w:val="Heading1Char"/>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link w:val="Heading2Char"/>
    <w:qFormat/>
    <w:rsid w:val="00B3571B"/>
    <w:pPr>
      <w:outlineLvl w:val="1"/>
    </w:pPr>
    <w:rPr>
      <w:bCs w:val="0"/>
      <w:color w:val="auto"/>
      <w:szCs w:val="24"/>
    </w:rPr>
  </w:style>
  <w:style w:type="paragraph" w:styleId="Heading3">
    <w:name w:val="heading 3"/>
    <w:basedOn w:val="Heading2"/>
    <w:next w:val="BodyText"/>
    <w:link w:val="Heading3Char"/>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uiPriority w:val="99"/>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FooterChar">
    <w:name w:val="Footer Char"/>
    <w:basedOn w:val="DefaultParagraphFont"/>
    <w:link w:val="Footer"/>
    <w:uiPriority w:val="99"/>
    <w:rsid w:val="00E46EBA"/>
    <w:rPr>
      <w:rFonts w:ascii="Arial" w:hAnsi="Arial" w:cs="Arial"/>
      <w:b/>
      <w:color w:val="747678"/>
      <w:sz w:val="13"/>
    </w:rPr>
  </w:style>
  <w:style w:type="character" w:customStyle="1" w:styleId="Heading1Char">
    <w:name w:val="Heading 1 Char"/>
    <w:basedOn w:val="DefaultParagraphFont"/>
    <w:link w:val="Heading1"/>
    <w:rsid w:val="00AC06AF"/>
    <w:rPr>
      <w:rFonts w:ascii="Arial Black" w:hAnsi="Arial Black" w:cs="Arial"/>
      <w:bCs/>
      <w:color w:val="4F2D7F"/>
      <w:kern w:val="32"/>
      <w:sz w:val="19"/>
      <w:szCs w:val="28"/>
    </w:rPr>
  </w:style>
  <w:style w:type="character" w:customStyle="1" w:styleId="Heading2Char">
    <w:name w:val="Heading 2 Char"/>
    <w:basedOn w:val="DefaultParagraphFont"/>
    <w:link w:val="Heading2"/>
    <w:rsid w:val="00AC06AF"/>
    <w:rPr>
      <w:rFonts w:ascii="Arial Black" w:hAnsi="Arial Black" w:cs="Arial"/>
      <w:kern w:val="32"/>
      <w:sz w:val="19"/>
      <w:szCs w:val="24"/>
    </w:rPr>
  </w:style>
  <w:style w:type="character" w:customStyle="1" w:styleId="Heading3Char">
    <w:name w:val="Heading 3 Char"/>
    <w:basedOn w:val="DefaultParagraphFont"/>
    <w:link w:val="Heading3"/>
    <w:rsid w:val="00AC06AF"/>
    <w:rPr>
      <w:rFonts w:ascii="Arial" w:hAnsi="Arial" w:cs="Arial"/>
      <w:bCs/>
      <w:kern w:val="32"/>
      <w:sz w:val="19"/>
      <w:szCs w:val="22"/>
    </w:rPr>
  </w:style>
  <w:style w:type="table" w:customStyle="1" w:styleId="GridTable5Dark-Accent11">
    <w:name w:val="Grid Table 5 Dark - Accent 11"/>
    <w:basedOn w:val="TableNormal"/>
    <w:uiPriority w:val="50"/>
    <w:rsid w:val="00F076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paragraph" w:customStyle="1" w:styleId="Default">
    <w:name w:val="Default"/>
    <w:rsid w:val="00810916"/>
    <w:pPr>
      <w:autoSpaceDE w:val="0"/>
      <w:autoSpaceDN w:val="0"/>
      <w:adjustRightInd w:val="0"/>
    </w:pPr>
    <w:rPr>
      <w:color w:val="000000"/>
      <w:sz w:val="24"/>
      <w:szCs w:val="24"/>
    </w:rPr>
  </w:style>
  <w:style w:type="paragraph" w:customStyle="1" w:styleId="armleftmargin000">
    <w:name w:val="arm_leftmargin_000"/>
    <w:basedOn w:val="Normal"/>
    <w:rsid w:val="00A964B5"/>
    <w:pPr>
      <w:spacing w:after="240"/>
    </w:pPr>
    <w:rPr>
      <w:rFonts w:ascii="Times New Roman" w:hAnsi="Times New Roman" w:cs="Times New Roman"/>
      <w:sz w:val="24"/>
      <w:szCs w:val="24"/>
    </w:rPr>
  </w:style>
  <w:style w:type="character" w:customStyle="1" w:styleId="showsources3">
    <w:name w:val="showsources3"/>
    <w:basedOn w:val="DefaultParagraphFont"/>
    <w:rsid w:val="00A964B5"/>
  </w:style>
  <w:style w:type="paragraph" w:customStyle="1" w:styleId="armleftmargin025">
    <w:name w:val="arm_leftmargin_025"/>
    <w:basedOn w:val="Normal"/>
    <w:rsid w:val="00A964B5"/>
    <w:pPr>
      <w:spacing w:after="24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0553">
      <w:bodyDiv w:val="1"/>
      <w:marLeft w:val="0"/>
      <w:marRight w:val="0"/>
      <w:marTop w:val="0"/>
      <w:marBottom w:val="0"/>
      <w:divBdr>
        <w:top w:val="none" w:sz="0" w:space="0" w:color="auto"/>
        <w:left w:val="none" w:sz="0" w:space="0" w:color="auto"/>
        <w:bottom w:val="none" w:sz="0" w:space="0" w:color="auto"/>
        <w:right w:val="none" w:sz="0" w:space="0" w:color="auto"/>
      </w:divBdr>
    </w:div>
    <w:div w:id="515849212">
      <w:bodyDiv w:val="1"/>
      <w:marLeft w:val="0"/>
      <w:marRight w:val="0"/>
      <w:marTop w:val="0"/>
      <w:marBottom w:val="0"/>
      <w:divBdr>
        <w:top w:val="none" w:sz="0" w:space="0" w:color="auto"/>
        <w:left w:val="none" w:sz="0" w:space="0" w:color="auto"/>
        <w:bottom w:val="none" w:sz="0" w:space="0" w:color="auto"/>
        <w:right w:val="none" w:sz="0" w:space="0" w:color="auto"/>
      </w:divBdr>
    </w:div>
    <w:div w:id="1744331292">
      <w:bodyDiv w:val="1"/>
      <w:marLeft w:val="0"/>
      <w:marRight w:val="0"/>
      <w:marTop w:val="0"/>
      <w:marBottom w:val="0"/>
      <w:divBdr>
        <w:top w:val="none" w:sz="0" w:space="0" w:color="auto"/>
        <w:left w:val="none" w:sz="0" w:space="0" w:color="auto"/>
        <w:bottom w:val="none" w:sz="0" w:space="0" w:color="auto"/>
        <w:right w:val="none" w:sz="0" w:space="0" w:color="auto"/>
      </w:divBdr>
      <w:divsChild>
        <w:div w:id="283463014">
          <w:marLeft w:val="0"/>
          <w:marRight w:val="0"/>
          <w:marTop w:val="0"/>
          <w:marBottom w:val="0"/>
          <w:divBdr>
            <w:top w:val="none" w:sz="0" w:space="0" w:color="auto"/>
            <w:left w:val="none" w:sz="0" w:space="0" w:color="auto"/>
            <w:bottom w:val="none" w:sz="0" w:space="0" w:color="auto"/>
            <w:right w:val="none" w:sz="0" w:space="0" w:color="auto"/>
          </w:divBdr>
          <w:divsChild>
            <w:div w:id="1278414606">
              <w:marLeft w:val="0"/>
              <w:marRight w:val="0"/>
              <w:marTop w:val="0"/>
              <w:marBottom w:val="0"/>
              <w:divBdr>
                <w:top w:val="none" w:sz="0" w:space="0" w:color="auto"/>
                <w:left w:val="none" w:sz="0" w:space="0" w:color="auto"/>
                <w:bottom w:val="none" w:sz="0" w:space="0" w:color="auto"/>
                <w:right w:val="none" w:sz="0" w:space="0" w:color="auto"/>
              </w:divBdr>
              <w:divsChild>
                <w:div w:id="883978503">
                  <w:marLeft w:val="0"/>
                  <w:marRight w:val="0"/>
                  <w:marTop w:val="0"/>
                  <w:marBottom w:val="0"/>
                  <w:divBdr>
                    <w:top w:val="none" w:sz="0" w:space="0" w:color="auto"/>
                    <w:left w:val="none" w:sz="0" w:space="0" w:color="auto"/>
                    <w:bottom w:val="none" w:sz="0" w:space="0" w:color="auto"/>
                    <w:right w:val="none" w:sz="0" w:space="0" w:color="auto"/>
                  </w:divBdr>
                  <w:divsChild>
                    <w:div w:id="17047225">
                      <w:marLeft w:val="-150"/>
                      <w:marRight w:val="-150"/>
                      <w:marTop w:val="0"/>
                      <w:marBottom w:val="0"/>
                      <w:divBdr>
                        <w:top w:val="none" w:sz="0" w:space="0" w:color="auto"/>
                        <w:left w:val="none" w:sz="0" w:space="0" w:color="auto"/>
                        <w:bottom w:val="none" w:sz="0" w:space="0" w:color="auto"/>
                        <w:right w:val="none" w:sz="0" w:space="0" w:color="auto"/>
                      </w:divBdr>
                      <w:divsChild>
                        <w:div w:id="708267100">
                          <w:marLeft w:val="0"/>
                          <w:marRight w:val="0"/>
                          <w:marTop w:val="0"/>
                          <w:marBottom w:val="0"/>
                          <w:divBdr>
                            <w:top w:val="none" w:sz="0" w:space="0" w:color="auto"/>
                            <w:left w:val="none" w:sz="0" w:space="0" w:color="auto"/>
                            <w:bottom w:val="none" w:sz="0" w:space="0" w:color="auto"/>
                            <w:right w:val="none" w:sz="0" w:space="0" w:color="auto"/>
                          </w:divBdr>
                          <w:divsChild>
                            <w:div w:id="1947034178">
                              <w:marLeft w:val="0"/>
                              <w:marRight w:val="0"/>
                              <w:marTop w:val="0"/>
                              <w:marBottom w:val="0"/>
                              <w:divBdr>
                                <w:top w:val="none" w:sz="0" w:space="0" w:color="auto"/>
                                <w:left w:val="none" w:sz="0" w:space="0" w:color="auto"/>
                                <w:bottom w:val="none" w:sz="0" w:space="0" w:color="auto"/>
                                <w:right w:val="none" w:sz="0" w:space="0" w:color="auto"/>
                              </w:divBdr>
                              <w:divsChild>
                                <w:div w:id="1410543068">
                                  <w:marLeft w:val="0"/>
                                  <w:marRight w:val="0"/>
                                  <w:marTop w:val="0"/>
                                  <w:marBottom w:val="0"/>
                                  <w:divBdr>
                                    <w:top w:val="none" w:sz="0" w:space="0" w:color="auto"/>
                                    <w:left w:val="none" w:sz="0" w:space="0" w:color="auto"/>
                                    <w:bottom w:val="none" w:sz="0" w:space="0" w:color="auto"/>
                                    <w:right w:val="none" w:sz="0" w:space="0" w:color="auto"/>
                                  </w:divBdr>
                                  <w:divsChild>
                                    <w:div w:id="1230505069">
                                      <w:marLeft w:val="0"/>
                                      <w:marRight w:val="0"/>
                                      <w:marTop w:val="0"/>
                                      <w:marBottom w:val="0"/>
                                      <w:divBdr>
                                        <w:top w:val="none" w:sz="0" w:space="0" w:color="auto"/>
                                        <w:left w:val="none" w:sz="0" w:space="0" w:color="auto"/>
                                        <w:bottom w:val="none" w:sz="0" w:space="0" w:color="auto"/>
                                        <w:right w:val="none" w:sz="0" w:space="0" w:color="auto"/>
                                      </w:divBdr>
                                      <w:divsChild>
                                        <w:div w:id="2142533479">
                                          <w:marLeft w:val="0"/>
                                          <w:marRight w:val="0"/>
                                          <w:marTop w:val="0"/>
                                          <w:marBottom w:val="0"/>
                                          <w:divBdr>
                                            <w:top w:val="none" w:sz="0" w:space="0" w:color="auto"/>
                                            <w:left w:val="none" w:sz="0" w:space="0" w:color="auto"/>
                                            <w:bottom w:val="none" w:sz="0" w:space="0" w:color="auto"/>
                                            <w:right w:val="none" w:sz="0" w:space="0" w:color="auto"/>
                                          </w:divBdr>
                                          <w:divsChild>
                                            <w:div w:id="1923296269">
                                              <w:marLeft w:val="0"/>
                                              <w:marRight w:val="0"/>
                                              <w:marTop w:val="0"/>
                                              <w:marBottom w:val="0"/>
                                              <w:divBdr>
                                                <w:top w:val="none" w:sz="0" w:space="0" w:color="auto"/>
                                                <w:left w:val="none" w:sz="0" w:space="0" w:color="auto"/>
                                                <w:bottom w:val="none" w:sz="0" w:space="0" w:color="auto"/>
                                                <w:right w:val="none" w:sz="0" w:space="0" w:color="auto"/>
                                              </w:divBdr>
                                              <w:divsChild>
                                                <w:div w:id="1354454972">
                                                  <w:marLeft w:val="0"/>
                                                  <w:marRight w:val="0"/>
                                                  <w:marTop w:val="0"/>
                                                  <w:marBottom w:val="0"/>
                                                  <w:divBdr>
                                                    <w:top w:val="none" w:sz="0" w:space="0" w:color="auto"/>
                                                    <w:left w:val="none" w:sz="0" w:space="0" w:color="auto"/>
                                                    <w:bottom w:val="none" w:sz="0" w:space="0" w:color="auto"/>
                                                    <w:right w:val="none" w:sz="0" w:space="0" w:color="auto"/>
                                                  </w:divBdr>
                                                  <w:divsChild>
                                                    <w:div w:id="883449591">
                                                      <w:marLeft w:val="0"/>
                                                      <w:marRight w:val="0"/>
                                                      <w:marTop w:val="0"/>
                                                      <w:marBottom w:val="0"/>
                                                      <w:divBdr>
                                                        <w:top w:val="none" w:sz="0" w:space="0" w:color="auto"/>
                                                        <w:left w:val="none" w:sz="0" w:space="0" w:color="auto"/>
                                                        <w:bottom w:val="none" w:sz="0" w:space="0" w:color="auto"/>
                                                        <w:right w:val="none" w:sz="0" w:space="0" w:color="auto"/>
                                                      </w:divBdr>
                                                      <w:divsChild>
                                                        <w:div w:id="635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6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E82087E242F841BB29673BD29AE555" ma:contentTypeVersion="0" ma:contentTypeDescription="Create a new document." ma:contentTypeScope="" ma:versionID="e4165a4f357fba904bde472d6b6314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973CC-9313-49EA-BDA5-8DD6D5072076}">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4F41717-2F38-47EC-B66E-03D73C2B23ED}">
  <ds:schemaRefs>
    <ds:schemaRef ds:uri="http://schemas.microsoft.com/sharepoint/v3/contenttype/forms"/>
  </ds:schemaRefs>
</ds:datastoreItem>
</file>

<file path=customXml/itemProps3.xml><?xml version="1.0" encoding="utf-8"?>
<ds:datastoreItem xmlns:ds="http://schemas.openxmlformats.org/officeDocument/2006/customXml" ds:itemID="{38EB7F09-8180-42DA-920D-5B3DC1BD4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032FDB-A3DD-4056-B459-52DE2E9A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Susannah</dc:creator>
  <cp:lastModifiedBy>Curtis, Michael R CIV OSD OUSD P-R (US)</cp:lastModifiedBy>
  <cp:revision>2</cp:revision>
  <cp:lastPrinted>2014-10-08T16:46:00Z</cp:lastPrinted>
  <dcterms:created xsi:type="dcterms:W3CDTF">2019-08-20T20:30:00Z</dcterms:created>
  <dcterms:modified xsi:type="dcterms:W3CDTF">2019-08-20T20:30:00Z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0x01010071E82087E242F841BB29673BD29AE555</vt:lpwstr>
  </property>
</Properties>
</file>